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版本号：ZCSP-渭南市-2025-00924.1B120260211002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渭南市主城区南塬水沙过程耦合模拟及生态防洪体系构建项目(二次)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ZCSP-渭南市-2025-00924.1B1</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渭南市主城区南塬水沙过程耦合模拟及生态防洪体系构建项目(二次)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渭南市主城区南塬水沙过程耦合模拟及生态防洪体系构建项目(二次)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研究渭南市主城区南塬在洪水期间的土壤侵蚀和水沙输移过程，开展主城区南塬的水沙过程耦合模拟，评估主城区南塬的生态治理措施组合效应及防洪效益，提出生态治理措施的最佳模式和实施建议。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及法人身份证明书（附法定代表人及被授权人身份证复印件）</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4、无管控承诺：单位负责人为同一人或者存在直接控股、管理关系的不同供应商，不得参加同一合同项下的政府采购活动。（格式自拟，加盖供应商公章）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薛蒙蒙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原国家计委关于《招标代理服务收费管理暂行办法》（计价格〔2002〕1980号）以及国家发改价格〔2011〕534号文件规定中代理费计算方式计取。 2.暂定价：1.74万元。最终结算价：中标价100万以内（含100万）以本项目中标价*1.5%计取，中标价超过100万以（100万*1.5%）+（中标价-100万）*0.8%计取。 3.代理服务费在招标工作完成后由甲方一次性付清。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符合国家及地方现行标准及相关规范，满足采购要求。成果文件及配套服务达到国家及行业验收合格标准。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联系人：薛蒙蒙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研究渭南市主城区南塬在洪水期间的土壤侵蚀和水沙输移过程，开展主城区南塬的水沙过程耦合模拟，评估主城区南塬的生态治理措施组合效应及防洪效益，提出生态治理措施的最佳模式和实施建议。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渭南市主城区南塬水沙过程耦合模拟及生态防洪体系构建服务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标的名称：渭南市主城区南塬水沙过程耦合模拟及生态防洪体系构建服务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rPr>
              <w:t>一、服务内容</w:t>
            </w:r>
          </w:p>
          <w:p>
            <w:pPr>
              <w:pStyle w:val="null3"/>
            </w:pPr>
            <w:r>
              <w:rPr>
                <w:rFonts w:ascii="仿宋_GB2312" w:hAnsi="仿宋_GB2312" w:cs="仿宋_GB2312" w:eastAsia="仿宋_GB2312"/>
              </w:rPr>
              <w:t>综合评估渭南市主城区南塬的水源涵养和水土保持能力，提出适宜主城区南塬的生态治理模式，辅助构建完整的生态防洪体系。</w:t>
            </w:r>
          </w:p>
          <w:p>
            <w:pPr>
              <w:pStyle w:val="null3"/>
            </w:pPr>
            <w:r>
              <w:rPr>
                <w:rFonts w:ascii="仿宋_GB2312" w:hAnsi="仿宋_GB2312" w:cs="仿宋_GB2312" w:eastAsia="仿宋_GB2312"/>
              </w:rPr>
              <w:t>1.水沙过程耦合模拟：利用水文模型、泥沙运动模型及地理信息系统（GIS），模拟南塬地区在不同降雨条件下洪水与泥沙的产生、运移和堆积过程。分析极端天气下洪峰流量、泥沙浓度对城区河道及排水管网的影响。</w:t>
            </w:r>
          </w:p>
          <w:p>
            <w:pPr>
              <w:pStyle w:val="null3"/>
            </w:pPr>
            <w:r>
              <w:rPr>
                <w:rFonts w:ascii="仿宋_GB2312" w:hAnsi="仿宋_GB2312" w:cs="仿宋_GB2312" w:eastAsia="仿宋_GB2312"/>
              </w:rPr>
              <w:t>1.1 多源数据集成与数据库构建。 系统收集并整理南塬区域高精度地形（DEM）、土壤类型与理化性质、土地利用与植被覆盖现状、历史气象水文资料以及已有水土保持工程数据，对多源数据进行标准化处理、空间插值与融合分析，构建统一的空间属性数据库。</w:t>
            </w:r>
          </w:p>
          <w:p>
            <w:pPr>
              <w:pStyle w:val="null3"/>
            </w:pPr>
            <w:r>
              <w:rPr>
                <w:rFonts w:ascii="仿宋_GB2312" w:hAnsi="仿宋_GB2312" w:cs="仿宋_GB2312" w:eastAsia="仿宋_GB2312"/>
              </w:rPr>
              <w:t>1.2 耦合模型构建、率定与验证。 选用经业界广泛验证的分布式水文模型与泥沙运动力学模型进行耦合。利用历史观测的洪水、泥沙数据对模型关键参数进行系统率定与验证，确保模型在洪峰、洪量、输沙量等关键指标上的模拟精度满足《水文模型规范》等相关技术标准要求。</w:t>
            </w:r>
          </w:p>
          <w:p>
            <w:pPr>
              <w:pStyle w:val="null3"/>
            </w:pPr>
            <w:r>
              <w:rPr>
                <w:rFonts w:ascii="仿宋_GB2312" w:hAnsi="仿宋_GB2312" w:cs="仿宋_GB2312" w:eastAsia="仿宋_GB2312"/>
              </w:rPr>
              <w:t>1.3 多情景模拟与过程解析。 设计涵盖常见暴雨（如2年、5年一遇）、大暴雨（如10年、20年一遇）及极端暴雨（如50年、100年一遇）等多种降雨情景，动态模拟不同情景下地表产流、坡面侵蚀、沟道输沙及泥沙堆积过程。量化输出各子流域的洪峰流量、洪水总量、产沙模数、输沙量等指标的时空分布。</w:t>
            </w:r>
          </w:p>
          <w:p>
            <w:pPr>
              <w:pStyle w:val="null3"/>
            </w:pPr>
            <w:r>
              <w:rPr>
                <w:rFonts w:ascii="仿宋_GB2312" w:hAnsi="仿宋_GB2312" w:cs="仿宋_GB2312" w:eastAsia="仿宋_GB2312"/>
              </w:rPr>
              <w:t>1.4 风险影响评估与薄弱环节识别。 基于情景模拟结果，定量分析高洪峰流量与高含沙水流对下游城区河道岸坡稳定、过流能力以及市政排水管网系统的冲刷、淤积与顶托影响，识别并划定洪水泥沙高风险区域与工程薄弱环节。</w:t>
            </w:r>
          </w:p>
          <w:p>
            <w:pPr>
              <w:pStyle w:val="null3"/>
            </w:pPr>
            <w:r>
              <w:rPr>
                <w:rFonts w:ascii="仿宋_GB2312" w:hAnsi="仿宋_GB2312" w:cs="仿宋_GB2312" w:eastAsia="仿宋_GB2312"/>
              </w:rPr>
              <w:t>2.生态防洪体系构建：上中下游协同治理。</w:t>
            </w:r>
          </w:p>
          <w:p>
            <w:pPr>
              <w:pStyle w:val="null3"/>
            </w:pPr>
            <w:r>
              <w:rPr>
                <w:rFonts w:ascii="仿宋_GB2312" w:hAnsi="仿宋_GB2312" w:cs="仿宋_GB2312" w:eastAsia="仿宋_GB2312"/>
              </w:rPr>
              <w:t>2.1 分区协同治理策略制定。 以南塬上、中、下游自然地理单元与水文联系为基础，制定差异化的协同治理策略。整体遵循“上游保育涵养、中游调控削减、下游安全疏排”的治理原则，明确各分区在整体防洪与生态保护体系中的功能定位与衔接要求。</w:t>
            </w:r>
          </w:p>
          <w:p>
            <w:pPr>
              <w:pStyle w:val="null3"/>
            </w:pPr>
            <w:r>
              <w:rPr>
                <w:rFonts w:ascii="仿宋_GB2312" w:hAnsi="仿宋_GB2312" w:cs="仿宋_GB2312" w:eastAsia="仿宋_GB2312"/>
              </w:rPr>
              <w:t>2.2 分区治理措施详细设计。</w:t>
            </w:r>
          </w:p>
          <w:p>
            <w:pPr>
              <w:pStyle w:val="null3"/>
            </w:pPr>
            <w:r>
              <w:rPr>
                <w:rFonts w:ascii="仿宋_GB2312" w:hAnsi="仿宋_GB2312" w:cs="仿宋_GB2312" w:eastAsia="仿宋_GB2312"/>
              </w:rPr>
              <w:t>水源涵养与生态修复区： 应提出以封育保护、自然恢复为主，辅以人工促进的植被恢复方案。</w:t>
            </w:r>
          </w:p>
          <w:p>
            <w:pPr>
              <w:pStyle w:val="null3"/>
            </w:pPr>
            <w:r>
              <w:rPr>
                <w:rFonts w:ascii="仿宋_GB2312" w:hAnsi="仿宋_GB2312" w:cs="仿宋_GB2312" w:eastAsia="仿宋_GB2312"/>
              </w:rPr>
              <w:t>径流泥沙调控区：须构建泥沙拦截与洪峰调节工程体系设计方案。应优化坝系布局与规模，明确其削峰、滞沙的设计标准与关键参数。</w:t>
            </w:r>
          </w:p>
          <w:p>
            <w:pPr>
              <w:pStyle w:val="null3"/>
            </w:pPr>
            <w:r>
              <w:rPr>
                <w:rFonts w:ascii="仿宋_GB2312" w:hAnsi="仿宋_GB2312" w:cs="仿宋_GB2312" w:eastAsia="仿宋_GB2312"/>
              </w:rPr>
              <w:t>防洪防护与安全排导区： 需根据城区防洪标准，完成河道生态清淤疏浚、岸坡生态加固、排洪渠系优化等工程设计方案。方案应兼顾生态性与安全。</w:t>
            </w:r>
          </w:p>
          <w:p>
            <w:pPr>
              <w:pStyle w:val="null3"/>
            </w:pPr>
            <w:r>
              <w:rPr>
                <w:rFonts w:ascii="仿宋_GB2312" w:hAnsi="仿宋_GB2312" w:cs="仿宋_GB2312" w:eastAsia="仿宋_GB2312"/>
              </w:rPr>
              <w:t>2.3 生态防洪体系集成与方案编制。系统集成分区治理措施，编制完整的《生态防洪体系构建方案》。方案应包含体系总体布局、分区措施配置、工程措施建议、非工程措施建议（如监测预警、维护管理）以及近远期分期实施计划。</w:t>
            </w:r>
          </w:p>
          <w:p>
            <w:pPr>
              <w:pStyle w:val="null3"/>
            </w:pPr>
            <w:r>
              <w:rPr>
                <w:rFonts w:ascii="仿宋_GB2312" w:hAnsi="仿宋_GB2312" w:cs="仿宋_GB2312" w:eastAsia="仿宋_GB2312"/>
              </w:rPr>
              <w:t xml:space="preserve">二、服务要求 </w:t>
            </w:r>
          </w:p>
          <w:p>
            <w:pPr>
              <w:pStyle w:val="null3"/>
            </w:pPr>
            <w:r>
              <w:rPr>
                <w:rFonts w:ascii="仿宋_GB2312" w:hAnsi="仿宋_GB2312" w:cs="仿宋_GB2312" w:eastAsia="仿宋_GB2312"/>
              </w:rPr>
              <w:t>1.在服务范围内按工作内容和要求制定详细的方案，方案科学、合理、可靠。</w:t>
            </w:r>
          </w:p>
          <w:p>
            <w:pPr>
              <w:pStyle w:val="null3"/>
            </w:pPr>
            <w:r>
              <w:rPr>
                <w:rFonts w:ascii="仿宋_GB2312" w:hAnsi="仿宋_GB2312" w:cs="仿宋_GB2312" w:eastAsia="仿宋_GB2312"/>
              </w:rPr>
              <w:t>2.人员配备合理。有针对本项目的专项服务小组，项目负责人、工作人员分工明确（应有具体成员名单，包括姓名、工作职责等）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p>
            <w:pPr>
              <w:pStyle w:val="null3"/>
            </w:pPr>
            <w:r>
              <w:rPr>
                <w:rFonts w:ascii="仿宋_GB2312" w:hAnsi="仿宋_GB2312" w:cs="仿宋_GB2312" w:eastAsia="仿宋_GB2312"/>
              </w:rPr>
              <w:t>三、服务质量</w:t>
            </w:r>
          </w:p>
          <w:p>
            <w:pPr>
              <w:pStyle w:val="null3"/>
            </w:pPr>
            <w:r>
              <w:rPr>
                <w:rFonts w:ascii="仿宋_GB2312" w:hAnsi="仿宋_GB2312" w:cs="仿宋_GB2312" w:eastAsia="仿宋_GB2312"/>
              </w:rPr>
              <w:t>1.符合国家相关行业规范、规程和有关技术规定；</w:t>
            </w:r>
          </w:p>
          <w:p>
            <w:pPr>
              <w:pStyle w:val="null3"/>
            </w:pPr>
            <w:r>
              <w:rPr>
                <w:rFonts w:ascii="仿宋_GB2312" w:hAnsi="仿宋_GB2312" w:cs="仿宋_GB2312" w:eastAsia="仿宋_GB2312"/>
              </w:rPr>
              <w:t>2.成果文件及质量满足相关部门的规定。</w:t>
            </w:r>
          </w:p>
          <w:p>
            <w:pPr>
              <w:pStyle w:val="null3"/>
            </w:pPr>
            <w:r>
              <w:rPr>
                <w:rFonts w:ascii="仿宋_GB2312" w:hAnsi="仿宋_GB2312" w:cs="仿宋_GB2312" w:eastAsia="仿宋_GB2312"/>
              </w:rPr>
              <w:t>四、成果形式</w:t>
            </w:r>
          </w:p>
          <w:p>
            <w:pPr>
              <w:pStyle w:val="null3"/>
            </w:pPr>
            <w:r>
              <w:rPr>
                <w:rFonts w:ascii="仿宋_GB2312" w:hAnsi="仿宋_GB2312" w:cs="仿宋_GB2312" w:eastAsia="仿宋_GB2312"/>
              </w:rPr>
              <w:t>1.内 容：《渭南市主城区南塬水沙过程耦合模拟及生态防洪体系构建报告》；</w:t>
            </w:r>
          </w:p>
          <w:p>
            <w:pPr>
              <w:pStyle w:val="null3"/>
            </w:pPr>
            <w:r>
              <w:rPr>
                <w:rFonts w:ascii="仿宋_GB2312" w:hAnsi="仿宋_GB2312" w:cs="仿宋_GB2312" w:eastAsia="仿宋_GB2312"/>
              </w:rPr>
              <w:t>2.形 式：纸质版4份，电子版1份。</w:t>
            </w:r>
          </w:p>
          <w:p>
            <w:pPr>
              <w:pStyle w:val="null3"/>
            </w:pPr>
            <w:r>
              <w:rPr>
                <w:rFonts w:ascii="仿宋_GB2312" w:hAnsi="仿宋_GB2312" w:cs="仿宋_GB2312" w:eastAsia="仿宋_GB2312"/>
              </w:rPr>
              <w:t>说明：以上内容不得负偏离，否则按无效磋商处理。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项目人员配备分工明确、责任明确，结构合理，满足项目实施要求。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1.合同包括：包括本次项目所需的人工费、服务费、管理费、税金等所有费用，政策性文件规定的各项应有费用各项管理费用。 2.供应商应按照规定完成项目全部实施内容且达到合格标准。 3.供应商接受项目行业管理部门及政府有关部门的指导，接受采购人的监督。 4.供应商所拟派的工作人员，若在服务期间发生任何安全事故由供应商承担。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（1）供应商完成相关服务工作、出具服务成果正式文件及要求提供的其他相关资料后，进行履约验收。 （2）服务质量达到国家相关法律法规要求、磋商文件、磋商响应文件及采购人要求。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最终成果通过采购人验收合格后支付合同总价款（含税）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法定代表人参与磋商时需提供法定代表人身份证明书（附法定代表人身份证复印件）；被授权人参与磋商时需提供法定代表人授权委托书及法人身份证明书（附法定代表人及被授权人身份证复印件）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无管控承诺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单位负责人为同一人或者存在直接控股、管理关系的不同供应商，不得参加同一合同项下的政府采购活动。（格式自拟，加盖供应商公章）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供应商承诺书</w:t>
            </w:r>
          </w:p>
        </w:tc>
        <w:tc>
          <w:tcPr>
            <w:tcW w:type="dxa" w:w="1661"/>
          </w:tcPr>
          <w:p>
            <w:pPr>
              <w:pStyle w:val="null3"/>
            </w:pPr>
            <w:r>
              <w:rPr>
                <w:rFonts w:ascii="仿宋_GB2312" w:hAnsi="仿宋_GB2312" w:cs="仿宋_GB2312" w:eastAsia="仿宋_GB2312"/>
              </w:rPr>
              <w:t>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政府采购供应商拒绝政府采购领域商业贿赂承诺书.docx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①对渭南市主城区及南塬现状的把握程度分析；②项目基本情况及相关政策解读；③项目总体实施策略与逻辑框架；④对项目目标与核心任务的理解深度分析；⑤关键问题与项目重难点分析。（二）评审标准：每一条评审内容不存在缺陷得3分，满分15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（一）评审内容：①项目质量保障体系；②质量控制要求与措施； （二）评审标准：每一条评审内容不存在缺陷得3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二）评审标准：每一条评审内容不存在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预期成果与综合效益</w:t>
            </w:r>
          </w:p>
        </w:tc>
        <w:tc>
          <w:tcPr>
            <w:tcW w:type="dxa" w:w="2492"/>
          </w:tcPr>
          <w:p>
            <w:pPr>
              <w:pStyle w:val="null3"/>
            </w:pPr>
            <w:r>
              <w:rPr>
                <w:rFonts w:ascii="仿宋_GB2312" w:hAnsi="仿宋_GB2312" w:cs="仿宋_GB2312" w:eastAsia="仿宋_GB2312"/>
              </w:rPr>
              <w:t>（一）评审内容：①列出全面、具体的成果清单；②综合效益分析。（二）评审标准：每一条评审内容不存在缺陷得3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（一）评审内容：①项目成果文本完整合规；②保质保量完成的服务承诺；③配合后续事宜的服务承诺。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项目组成员每具有一名水利或环境相关专业正高级得3分，每具有一名水利或环境相关专业副高级得2分，每具有水利或环境相关专业中级职称得1分，本项最多得14分； 注：提供人员证书证明材料复印件，加盖单位公章，否则不得分。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为本项目配置的专用仪器设备</w:t>
            </w:r>
          </w:p>
        </w:tc>
        <w:tc>
          <w:tcPr>
            <w:tcW w:type="dxa" w:w="2492"/>
          </w:tcPr>
          <w:p>
            <w:pPr>
              <w:pStyle w:val="null3"/>
            </w:pPr>
            <w:r>
              <w:rPr>
                <w:rFonts w:ascii="仿宋_GB2312" w:hAnsi="仿宋_GB2312" w:cs="仿宋_GB2312" w:eastAsia="仿宋_GB2312"/>
              </w:rPr>
              <w:t>根据供应商为履行本项目专门调配或承诺投入的核心仪器设备清单（需列明型号、性能参数及与项目任务的关联性），进行综合评价。提供一项设备得1分，最多得4分，未提供不得分。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供应商具有2020年至今的类似业绩（合同扫描件并加盖供应商公章，以合同签订时间为准）每个计1分，最多得5分；未提供不得分。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满足磋商文件要求且最后磋商报价最低的磋商报价为评审基准价，其价格分为满分。其他供应商的价格分统一按照下列公式计算： 磋商报价得分=(评审基准价／磋商报价)×20%×100。 备注：当磋商小组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