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版本号：ZCSP-渭南市-2025-0094120260105001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2026年渭南市公共就业系列招聘会服务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ZCSP-渭南市-2025-00941</w:t>
      </w:r>
      <w:r>
        <w:br/>
      </w:r>
      <w:r>
        <w:br/>
      </w:r>
      <w:r>
        <w:br/>
      </w:r>
    </w:p>
    <w:p>
      <w:pPr>
        <w:pStyle w:val="null3"/>
        <w:jc w:val="center"/>
        <w:outlineLvl w:val="2"/>
      </w:pPr>
      <w:r>
        <w:rPr>
          <w:rFonts w:ascii="仿宋_GB2312" w:hAnsi="仿宋_GB2312" w:cs="仿宋_GB2312" w:eastAsia="仿宋_GB2312"/>
          <w:sz w:val="28"/>
          <w:b/>
        </w:rPr>
        <w:t>渭南市公共就业和人才交流服务中心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渭南市公共就业和人才交流服务中心</w:t>
      </w:r>
      <w:r>
        <w:rPr>
          <w:rFonts w:ascii="仿宋_GB2312" w:hAnsi="仿宋_GB2312" w:cs="仿宋_GB2312" w:eastAsia="仿宋_GB2312"/>
        </w:rPr>
        <w:t>委托，拟对</w:t>
      </w:r>
      <w:r>
        <w:rPr>
          <w:rFonts w:ascii="仿宋_GB2312" w:hAnsi="仿宋_GB2312" w:cs="仿宋_GB2312" w:eastAsia="仿宋_GB2312"/>
        </w:rPr>
        <w:t>2026年渭南市公共就业系列招聘会服务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2026年渭南市公共就业系列招聘会服务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为促进全市公共就业，帮助离校未就业毕业生和失业青年等群体就业，计划组织开展现场招聘会、线上招聘会、直播带岗活动。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采购包1（2026年渭南市公共就业系列招聘会服务）：属于专门面向小微企业采购。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磋商全过程：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3、完税证明 ：供应商须提供开标前一年内（2025.1以来）至少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4、社会保险缴纳证明：供应商须提供开标前一年内（2025.1以来）至少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5、财务审计报告或资信证明：供应商提供具有财务审计资质单位出具的2024年度完整财务报告或开标前六个月内其基本账户银行出具的资信证明；供应商须在项目电子化交易系统中按要求上传，并进行电子签章。</w:t>
      </w:r>
    </w:p>
    <w:p>
      <w:pPr>
        <w:pStyle w:val="null3"/>
      </w:pPr>
      <w:r>
        <w:rPr>
          <w:rFonts w:ascii="仿宋_GB2312" w:hAnsi="仿宋_GB2312" w:cs="仿宋_GB2312" w:eastAsia="仿宋_GB2312"/>
        </w:rPr>
        <w:t>6、无重大违法记录书面声明：供应商须在项目电子化交易系统中按要求上传《供应商无重大违法记录书面声明函》，并进行电子签章。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7、信用记录书面声明：供应商须在项目电子化交易系统中按要求上传《供应商信用记录书面声明函》，并进行电子签章。</w:t>
      </w:r>
    </w:p>
    <w:p>
      <w:pPr>
        <w:pStyle w:val="null3"/>
      </w:pPr>
      <w:r>
        <w:rPr>
          <w:rFonts w:ascii="仿宋_GB2312" w:hAnsi="仿宋_GB2312" w:cs="仿宋_GB2312" w:eastAsia="仿宋_GB2312"/>
        </w:rPr>
        <w:t>8、本项目不接受联合体投标，不允许分包。： 供应商须在项目电子化交易系统中按要求上传《非联合体不分包投标声明》，并进行电子签章。</w:t>
      </w:r>
    </w:p>
    <w:p>
      <w:pPr>
        <w:pStyle w:val="null3"/>
      </w:pPr>
      <w:r>
        <w:rPr>
          <w:rFonts w:ascii="仿宋_GB2312" w:hAnsi="仿宋_GB2312" w:cs="仿宋_GB2312" w:eastAsia="仿宋_GB2312"/>
        </w:rPr>
        <w:t>9、人力资源服务许可证：供应商在电子化交易系统中按要求上传合格有效的《人力资源服务许可证》，并进行电子签章。</w:t>
      </w:r>
    </w:p>
    <w:p>
      <w:pPr>
        <w:pStyle w:val="null3"/>
      </w:pPr>
      <w:r>
        <w:rPr>
          <w:rFonts w:ascii="仿宋_GB2312" w:hAnsi="仿宋_GB2312" w:cs="仿宋_GB2312" w:eastAsia="仿宋_GB2312"/>
        </w:rPr>
        <w:t>10、增值电信业务经营许可证：供应商在电子化交易系统中按要求上传合格有效的《增值电信业务经营许可证》，并进行电子签章。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渭南市公共就业和人才交流服务中心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13891339049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渭南市公共就业和人才交流服务中心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渭南市公共就业和人才交流服务中心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渭南市公共就业和人才交流服务中心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渭南市公共就业和人才交流服务中心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联系人：纪煦</w:t>
      </w:r>
    </w:p>
    <w:p>
      <w:pPr>
        <w:pStyle w:val="null3"/>
      </w:pPr>
      <w:r>
        <w:rPr>
          <w:rFonts w:ascii="仿宋_GB2312" w:hAnsi="仿宋_GB2312" w:cs="仿宋_GB2312" w:eastAsia="仿宋_GB2312"/>
        </w:rPr>
        <w:t>联系电话：13891339049</w:t>
      </w:r>
    </w:p>
    <w:p>
      <w:pPr>
        <w:pStyle w:val="null3"/>
      </w:pPr>
      <w:r>
        <w:rPr>
          <w:rFonts w:ascii="仿宋_GB2312" w:hAnsi="仿宋_GB2312" w:cs="仿宋_GB2312" w:eastAsia="仿宋_GB2312"/>
        </w:rPr>
        <w:t>地址：渭南市车雷大街69号渭南市公共就业和人才交流服务中心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地址：渭南市临渭区朝阳大街中银大厦11楼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为促进全市公共就业，帮助离校未就业毕业生和失业青年等群体就业，计划组织开展现场招聘会、线上招聘会、直播带岗活动。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其他就业服务</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1</w:t>
            </w:r>
            <w:r>
              <w:rPr>
                <w:rFonts w:ascii="仿宋_GB2312" w:hAnsi="仿宋_GB2312" w:cs="仿宋_GB2312" w:eastAsia="仿宋_GB2312"/>
                <w:sz w:val="28"/>
              </w:rPr>
              <w:t>、现场招聘会：</w:t>
            </w:r>
          </w:p>
          <w:p>
            <w:pPr>
              <w:pStyle w:val="null3"/>
              <w:numPr>
                <w:ilvl w:val="0"/>
                <w:numId w:val="1"/>
              </w:numPr>
              <w:ind w:left="450"/>
              <w:jc w:val="both"/>
            </w:pPr>
            <w:r>
              <w:rPr>
                <w:rFonts w:ascii="仿宋_GB2312" w:hAnsi="仿宋_GB2312" w:cs="仿宋_GB2312" w:eastAsia="仿宋_GB2312"/>
                <w:sz w:val="28"/>
              </w:rPr>
              <w:t>举办场次：10场</w:t>
            </w:r>
          </w:p>
          <w:p>
            <w:pPr>
              <w:pStyle w:val="null3"/>
              <w:numPr>
                <w:ilvl w:val="0"/>
                <w:numId w:val="1"/>
              </w:numPr>
              <w:ind w:left="450"/>
              <w:jc w:val="both"/>
            </w:pPr>
            <w:r>
              <w:rPr>
                <w:rFonts w:ascii="仿宋_GB2312" w:hAnsi="仿宋_GB2312" w:cs="仿宋_GB2312" w:eastAsia="仿宋_GB2312"/>
                <w:sz w:val="28"/>
              </w:rPr>
              <w:t>参会企业：每场参会企业不少于90家；</w:t>
            </w:r>
          </w:p>
          <w:p>
            <w:pPr>
              <w:pStyle w:val="null3"/>
              <w:numPr>
                <w:ilvl w:val="0"/>
                <w:numId w:val="1"/>
              </w:numPr>
              <w:ind w:left="450"/>
              <w:jc w:val="both"/>
            </w:pPr>
            <w:r>
              <w:rPr>
                <w:rFonts w:ascii="仿宋_GB2312" w:hAnsi="仿宋_GB2312" w:cs="仿宋_GB2312" w:eastAsia="仿宋_GB2312"/>
                <w:sz w:val="28"/>
              </w:rPr>
              <w:t>现场物料：准备每场活动所需的各类物料；</w:t>
            </w:r>
          </w:p>
          <w:p>
            <w:pPr>
              <w:pStyle w:val="null3"/>
              <w:numPr>
                <w:ilvl w:val="0"/>
                <w:numId w:val="1"/>
              </w:numPr>
              <w:ind w:left="450"/>
              <w:jc w:val="both"/>
            </w:pPr>
            <w:r>
              <w:rPr>
                <w:rFonts w:ascii="仿宋_GB2312" w:hAnsi="仿宋_GB2312" w:cs="仿宋_GB2312" w:eastAsia="仿宋_GB2312"/>
                <w:sz w:val="28"/>
              </w:rPr>
              <w:t>宣传：通过多样化网络媒体宣传，配备专业摄影师及摄像师</w:t>
            </w:r>
          </w:p>
          <w:p>
            <w:pPr>
              <w:pStyle w:val="null3"/>
              <w:jc w:val="both"/>
            </w:pPr>
            <w:r>
              <w:rPr>
                <w:rFonts w:ascii="仿宋_GB2312" w:hAnsi="仿宋_GB2312" w:cs="仿宋_GB2312" w:eastAsia="仿宋_GB2312"/>
                <w:sz w:val="28"/>
              </w:rPr>
              <w:t>全程跟拍及视频剪辑宣传；</w:t>
            </w:r>
          </w:p>
          <w:p>
            <w:pPr>
              <w:pStyle w:val="null3"/>
              <w:numPr>
                <w:ilvl w:val="0"/>
                <w:numId w:val="1"/>
              </w:numPr>
              <w:ind w:left="450"/>
              <w:jc w:val="both"/>
            </w:pPr>
            <w:r>
              <w:rPr>
                <w:rFonts w:ascii="仿宋_GB2312" w:hAnsi="仿宋_GB2312" w:cs="仿宋_GB2312" w:eastAsia="仿宋_GB2312"/>
                <w:sz w:val="28"/>
              </w:rPr>
              <w:t>总结：场均进场人数不低于800人次，达成就业意向400</w:t>
            </w:r>
          </w:p>
          <w:p>
            <w:pPr>
              <w:pStyle w:val="null3"/>
              <w:jc w:val="both"/>
            </w:pPr>
            <w:r>
              <w:rPr>
                <w:rFonts w:ascii="仿宋_GB2312" w:hAnsi="仿宋_GB2312" w:cs="仿宋_GB2312" w:eastAsia="仿宋_GB2312"/>
                <w:sz w:val="28"/>
              </w:rPr>
              <w:t>人以上。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rPr>
              <w:t>线上招聘会：</w:t>
            </w:r>
          </w:p>
          <w:p>
            <w:pPr>
              <w:pStyle w:val="null3"/>
              <w:numPr>
                <w:ilvl w:val="0"/>
                <w:numId w:val="1"/>
              </w:numPr>
              <w:ind w:left="450"/>
              <w:jc w:val="both"/>
            </w:pPr>
            <w:r>
              <w:rPr>
                <w:rFonts w:ascii="仿宋_GB2312" w:hAnsi="仿宋_GB2312" w:cs="仿宋_GB2312" w:eastAsia="仿宋_GB2312"/>
                <w:sz w:val="28"/>
              </w:rPr>
              <w:t>举办场次：3场</w:t>
            </w:r>
          </w:p>
          <w:p>
            <w:pPr>
              <w:pStyle w:val="null3"/>
              <w:numPr>
                <w:ilvl w:val="0"/>
                <w:numId w:val="1"/>
              </w:numPr>
              <w:ind w:left="450"/>
              <w:jc w:val="both"/>
            </w:pPr>
            <w:r>
              <w:rPr>
                <w:rFonts w:ascii="仿宋_GB2312" w:hAnsi="仿宋_GB2312" w:cs="仿宋_GB2312" w:eastAsia="仿宋_GB2312"/>
                <w:sz w:val="28"/>
              </w:rPr>
              <w:t>参会企业：网络招聘会每场参会企业不少于300家，</w:t>
            </w:r>
          </w:p>
          <w:p>
            <w:pPr>
              <w:pStyle w:val="null3"/>
              <w:numPr>
                <w:ilvl w:val="0"/>
                <w:numId w:val="1"/>
              </w:numPr>
              <w:ind w:left="450"/>
              <w:jc w:val="both"/>
            </w:pPr>
            <w:r>
              <w:rPr>
                <w:rFonts w:ascii="仿宋_GB2312" w:hAnsi="仿宋_GB2312" w:cs="仿宋_GB2312" w:eastAsia="仿宋_GB2312"/>
                <w:sz w:val="28"/>
              </w:rPr>
              <w:t>物料：准备每场活动所需的各类物料；</w:t>
            </w:r>
          </w:p>
          <w:p>
            <w:pPr>
              <w:pStyle w:val="null3"/>
              <w:numPr>
                <w:ilvl w:val="0"/>
                <w:numId w:val="1"/>
              </w:numPr>
              <w:ind w:left="450"/>
              <w:jc w:val="both"/>
            </w:pPr>
            <w:r>
              <w:rPr>
                <w:rFonts w:ascii="仿宋_GB2312" w:hAnsi="仿宋_GB2312" w:cs="仿宋_GB2312" w:eastAsia="仿宋_GB2312"/>
                <w:sz w:val="28"/>
              </w:rPr>
              <w:t>宣传：通过多样化网络媒体宣传，配备专业摄影师及摄像师</w:t>
            </w:r>
          </w:p>
          <w:p>
            <w:pPr>
              <w:pStyle w:val="null3"/>
              <w:jc w:val="both"/>
            </w:pPr>
            <w:r>
              <w:rPr>
                <w:rFonts w:ascii="仿宋_GB2312" w:hAnsi="仿宋_GB2312" w:cs="仿宋_GB2312" w:eastAsia="仿宋_GB2312"/>
                <w:sz w:val="28"/>
              </w:rPr>
              <w:t>全程跟拍及视频剪辑宣传；</w:t>
            </w:r>
          </w:p>
          <w:p>
            <w:pPr>
              <w:pStyle w:val="null3"/>
              <w:numPr>
                <w:ilvl w:val="0"/>
                <w:numId w:val="1"/>
              </w:numPr>
              <w:ind w:left="450"/>
              <w:jc w:val="both"/>
            </w:pPr>
            <w:r>
              <w:rPr>
                <w:rFonts w:ascii="仿宋_GB2312" w:hAnsi="仿宋_GB2312" w:cs="仿宋_GB2312" w:eastAsia="仿宋_GB2312"/>
                <w:sz w:val="28"/>
              </w:rPr>
              <w:t>总结：网络招聘会场均入场人数不低于15000人次，场均达</w:t>
            </w:r>
          </w:p>
          <w:p>
            <w:pPr>
              <w:pStyle w:val="null3"/>
              <w:jc w:val="both"/>
            </w:pPr>
            <w:r>
              <w:rPr>
                <w:rFonts w:ascii="仿宋_GB2312" w:hAnsi="仿宋_GB2312" w:cs="仿宋_GB2312" w:eastAsia="仿宋_GB2312"/>
                <w:sz w:val="28"/>
              </w:rPr>
              <w:t>成就业意向100人以上；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rPr>
              <w:t>直播带岗活动：</w:t>
            </w:r>
          </w:p>
          <w:p>
            <w:pPr>
              <w:pStyle w:val="null3"/>
              <w:ind w:firstLine="560"/>
              <w:jc w:val="both"/>
            </w:pPr>
            <w:r>
              <w:rPr>
                <w:rFonts w:ascii="仿宋_GB2312" w:hAnsi="仿宋_GB2312" w:cs="仿宋_GB2312" w:eastAsia="仿宋_GB2312"/>
                <w:sz w:val="28"/>
              </w:rPr>
              <w:t>（1）举办场次：8场</w:t>
            </w:r>
          </w:p>
          <w:p>
            <w:pPr>
              <w:pStyle w:val="null3"/>
              <w:ind w:firstLine="560"/>
              <w:jc w:val="both"/>
            </w:pPr>
            <w:r>
              <w:rPr>
                <w:rFonts w:ascii="仿宋_GB2312" w:hAnsi="仿宋_GB2312" w:cs="仿宋_GB2312" w:eastAsia="仿宋_GB2312"/>
                <w:sz w:val="28"/>
              </w:rPr>
              <w:t>（2）参会企业：直播带岗每场参会企业不少于6家；</w:t>
            </w:r>
          </w:p>
          <w:p>
            <w:pPr>
              <w:pStyle w:val="null3"/>
              <w:ind w:firstLine="560"/>
              <w:jc w:val="both"/>
            </w:pPr>
            <w:r>
              <w:rPr>
                <w:rFonts w:ascii="仿宋_GB2312" w:hAnsi="仿宋_GB2312" w:cs="仿宋_GB2312" w:eastAsia="仿宋_GB2312"/>
                <w:sz w:val="28"/>
              </w:rPr>
              <w:t>（3）物料：准备每场活动所需的各类物料；</w:t>
            </w:r>
          </w:p>
          <w:p>
            <w:pPr>
              <w:pStyle w:val="null3"/>
              <w:ind w:firstLine="560"/>
              <w:jc w:val="both"/>
            </w:pPr>
            <w:r>
              <w:rPr>
                <w:rFonts w:ascii="仿宋_GB2312" w:hAnsi="仿宋_GB2312" w:cs="仿宋_GB2312" w:eastAsia="仿宋_GB2312"/>
                <w:sz w:val="28"/>
              </w:rPr>
              <w:t>（4）宣传：通过多样化网络媒体宣传，配备专业摄影师及摄像师全程跟拍及视频剪辑宣传；</w:t>
            </w:r>
          </w:p>
          <w:p>
            <w:pPr>
              <w:pStyle w:val="null3"/>
              <w:ind w:left="630"/>
              <w:jc w:val="both"/>
            </w:pPr>
            <w:r>
              <w:rPr>
                <w:rFonts w:ascii="仿宋_GB2312" w:hAnsi="仿宋_GB2312" w:cs="仿宋_GB2312" w:eastAsia="仿宋_GB2312"/>
                <w:sz w:val="28"/>
              </w:rPr>
              <w:t>（5）总结：直播场均入场人数不低于15000人次，场均达成就</w:t>
            </w:r>
          </w:p>
          <w:p>
            <w:pPr>
              <w:pStyle w:val="null3"/>
              <w:jc w:val="both"/>
            </w:pPr>
            <w:r>
              <w:rPr>
                <w:rFonts w:ascii="仿宋_GB2312" w:hAnsi="仿宋_GB2312" w:cs="仿宋_GB2312" w:eastAsia="仿宋_GB2312"/>
                <w:sz w:val="28"/>
              </w:rPr>
              <w:t>业意向150人以上。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须配备项目负责人，至少1人，大专及以上学历、3年及以上类似项目工作经验。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合同签订后，按照合同约定支付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本项目资格审查由磋商小组完成。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供应商需在项目电子化交易系统中按要求填写《投标函》及《书面声明》完成承诺并进行电子签章。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2025.1以来）至少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2025.1以来）至少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 xml:space="preserve"> 供应商须在项目电子化交易系统中按要求上传《非联合体不分包投标声明》，并进行电子签章。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人力资源服务许可证</w:t>
            </w:r>
          </w:p>
        </w:tc>
        <w:tc>
          <w:tcPr>
            <w:tcW w:type="dxa" w:w="3322"/>
          </w:tcPr>
          <w:p>
            <w:pPr>
              <w:pStyle w:val="null3"/>
            </w:pPr>
            <w:r>
              <w:rPr>
                <w:rFonts w:ascii="仿宋_GB2312" w:hAnsi="仿宋_GB2312" w:cs="仿宋_GB2312" w:eastAsia="仿宋_GB2312"/>
              </w:rPr>
              <w:t>供应商在电子化交易系统中按要求上传合格有效的《人力资源服务许可证》，并进行电子签章。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增值电信业务经营许可证</w:t>
            </w:r>
          </w:p>
        </w:tc>
        <w:tc>
          <w:tcPr>
            <w:tcW w:type="dxa" w:w="3322"/>
          </w:tcPr>
          <w:p>
            <w:pPr>
              <w:pStyle w:val="null3"/>
            </w:pPr>
            <w:r>
              <w:rPr>
                <w:rFonts w:ascii="仿宋_GB2312" w:hAnsi="仿宋_GB2312" w:cs="仿宋_GB2312" w:eastAsia="仿宋_GB2312"/>
              </w:rPr>
              <w:t>供应商在电子化交易系统中按要求上传合格有效的《增值电信业务经营许可证》，并进行电子签章。</w:t>
            </w:r>
          </w:p>
        </w:tc>
        <w:tc>
          <w:tcPr>
            <w:tcW w:type="dxa" w:w="1661"/>
          </w:tcPr>
          <w:p>
            <w:pPr>
              <w:pStyle w:val="null3"/>
            </w:pPr>
            <w:r>
              <w:rPr>
                <w:rFonts w:ascii="仿宋_GB2312" w:hAnsi="仿宋_GB2312" w:cs="仿宋_GB2312" w:eastAsia="仿宋_GB2312"/>
              </w:rPr>
              <w:t>按要求提供相关证明材料.docx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对服务内容及服务要求应答、商务要求应答</w:t>
            </w:r>
          </w:p>
        </w:tc>
        <w:tc>
          <w:tcPr>
            <w:tcW w:type="dxa" w:w="3322"/>
          </w:tcPr>
          <w:p>
            <w:pPr>
              <w:pStyle w:val="null3"/>
            </w:pPr>
            <w:r>
              <w:rPr>
                <w:rFonts w:ascii="仿宋_GB2312" w:hAnsi="仿宋_GB2312" w:cs="仿宋_GB2312" w:eastAsia="仿宋_GB2312"/>
              </w:rPr>
              <w:t>完全理解并接受磋商文件中服务内容及服务要求、商务要求</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供应商信用记录书面声明函.docx 业绩表.docx 法定代表人身份证明、法定代表人授权委托书.docx 书面声明.docx 中小企业声明函 残疾人福利性单位声明函 非联合体不分包投标声明.docx 响应函 供应商无重大违法记录书面声明函.docx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现场招聘会方案</w:t>
            </w:r>
          </w:p>
        </w:tc>
        <w:tc>
          <w:tcPr>
            <w:tcW w:type="dxa" w:w="2492"/>
          </w:tcPr>
          <w:p>
            <w:pPr>
              <w:pStyle w:val="null3"/>
            </w:pPr>
            <w:r>
              <w:rPr>
                <w:rFonts w:ascii="仿宋_GB2312" w:hAnsi="仿宋_GB2312" w:cs="仿宋_GB2312" w:eastAsia="仿宋_GB2312"/>
              </w:rPr>
              <w:t>一、评审内容 提出适用于本项目的现场招聘会服务方案，方案内容包含：①组织规模情况及保证措施②宣传渠道及权威性、广泛性描述③各项流程安排的合理性、安全性描述④线下招聘会活动经验。二、评审标准 1.完整性：方案必须全面，对评审内容中的各项要求有详细描述； 2.可实施性：切合本项目实际情况，提出步骤清晰、合理的方案； 3.针对性：方案能够紧扣项目实际情况， 内容科学合理。 三、赋分标准（满分 24分） ①组织规模情况及保证措施：每完全满足一个评审标准得 2分，满分 6分； ②宣传渠道及权威性、广泛性描述：每完全满足一个评审标准得 2分，满分 6分； ③各项流程安排的合理性、安全性描述：每完全满足一个评审标准得 2分，满分 6分；④线下招聘会活动经验：每完全满足一个评审标准得 2分，满分 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线上招聘会方案</w:t>
            </w:r>
          </w:p>
        </w:tc>
        <w:tc>
          <w:tcPr>
            <w:tcW w:type="dxa" w:w="2492"/>
          </w:tcPr>
          <w:p>
            <w:pPr>
              <w:pStyle w:val="null3"/>
            </w:pPr>
            <w:r>
              <w:rPr>
                <w:rFonts w:ascii="仿宋_GB2312" w:hAnsi="仿宋_GB2312" w:cs="仿宋_GB2312" w:eastAsia="仿宋_GB2312"/>
              </w:rPr>
              <w:t>一、评审内容 提出适用于本项目的线上招聘会方案，方案内容包含：①组织规模情况及保证措施②宣传渠道及权威性、广泛性描述③各项流程安排的合理性、安全性描述④网络招聘会活动经验。二、评审标准 1.完整性：方案必须全面，对评审内容中的各项要求有详细描述； 2.可实施性：切合本项目实际情况，提出步骤清晰、合理的方案； 3.针对性：方案能够紧扣项目实际情况， 内容科学合理。 三、赋分标准（满分18分） ①组织规模情况及保证措施：每完全满足一个评审标准得 2分，满分 6分； ②宣传渠道及权威性、广泛性描述：每完全满足一个评审标准得 2分，满分 6分； ③各项流程安排的合理性、安全性描述：每完全满足一个评审标准得 1分，满分 3分；④网络招聘会活动经验：每完全满足一个评审标准得 1分，满分 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直播带岗活动方案</w:t>
            </w:r>
          </w:p>
        </w:tc>
        <w:tc>
          <w:tcPr>
            <w:tcW w:type="dxa" w:w="2492"/>
          </w:tcPr>
          <w:p>
            <w:pPr>
              <w:pStyle w:val="null3"/>
            </w:pPr>
            <w:r>
              <w:rPr>
                <w:rFonts w:ascii="仿宋_GB2312" w:hAnsi="仿宋_GB2312" w:cs="仿宋_GB2312" w:eastAsia="仿宋_GB2312"/>
              </w:rPr>
              <w:t>一、评审内容 提出适用于本项目的直播带岗活动方案，方案内容包含：①组织规模情况及保证措施②宣传渠道及权威性、广泛性描述③各项流程安排的合理性、安全性描述④直播带岗活动经验。二、评审标准 1.完整性：方案必须全面，对评审内容中的各项要求有详细描述； 2.可实施性：切合本项目实际情况，提出步骤清晰、合理的方案； 3.针对性：方案能够紧扣项目实际情况， 内容科学合理。 三、赋分标准（满分 24分） ①组织规模情况及保证措施：每完全满足一个评审标准得 2分，满分 6分； ②宣传渠道及权威性、广泛性描述：每完全满足一个评审标准得 2分，满分 6分； ③各项流程安排的合理性、安全性描述：每完全满足一个评审标准得 2分，满分 6分；④直播带岗活动经验：每完全满足一个评审标准得 2分，满分 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统计与分析</w:t>
            </w:r>
          </w:p>
        </w:tc>
        <w:tc>
          <w:tcPr>
            <w:tcW w:type="dxa" w:w="2492"/>
          </w:tcPr>
          <w:p>
            <w:pPr>
              <w:pStyle w:val="null3"/>
            </w:pPr>
            <w:r>
              <w:rPr>
                <w:rFonts w:ascii="仿宋_GB2312" w:hAnsi="仿宋_GB2312" w:cs="仿宋_GB2312" w:eastAsia="仿宋_GB2312"/>
              </w:rPr>
              <w:t>招聘会会后统计与分析、回访流程描述详细完善、科学合理，根据响应情况得 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2022年1月1日以来类似项目合同，（要求合同完整，能体现甲乙双方名称、合同期限、服务内容、合同金额及盖章。）每份合格合同得1分，满分8分； 赋分依据：须提供完整项目合同及对应发票复印件（发票可提供服务期内任意一张），并加盖投标人公章，以上两种证明材料同时提供方可得分，否则不得分。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1．项目负责人，至少1人（满分 4分）：大专及以上学历、3年及以上类似项目工作经验、投标人为其缴纳的开标前1年内连续缴纳3个月的社保证明材料（至少包含养老保险）。 赋分依据：需同时提供学历证明、工作经验证明文件、社保缴纳证明，不提供或缺项本项不得分。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 ×20%×100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详见附件：按要求提供相关证明材料.docx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详见附件：自行编制，格式不限.docx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详见附件：2026合同草案.docx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