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27C97">
      <w:pPr>
        <w:pStyle w:val="2"/>
        <w:spacing w:line="251" w:lineRule="auto"/>
      </w:pPr>
    </w:p>
    <w:p w14:paraId="523EB64D">
      <w:pPr>
        <w:pStyle w:val="2"/>
        <w:spacing w:before="274" w:line="219" w:lineRule="auto"/>
        <w:jc w:val="center"/>
        <w:rPr>
          <w:rFonts w:ascii="宋体" w:hAnsi="宋体" w:eastAsia="宋体" w:cs="宋体"/>
          <w:b/>
          <w:bCs/>
          <w:spacing w:val="14"/>
          <w:sz w:val="65"/>
          <w:szCs w:val="65"/>
        </w:rPr>
      </w:pPr>
      <w:r>
        <w:rPr>
          <w:rFonts w:ascii="宋体" w:hAnsi="宋体" w:eastAsia="宋体" w:cs="宋体"/>
          <w:b/>
          <w:bCs/>
          <w:spacing w:val="14"/>
          <w:sz w:val="65"/>
          <w:szCs w:val="65"/>
        </w:rPr>
        <w:t>渭南市消防救援支队</w:t>
      </w:r>
      <w:r>
        <w:rPr>
          <w:rFonts w:hint="eastAsia" w:ascii="宋体" w:hAnsi="宋体" w:eastAsia="宋体" w:cs="宋体"/>
          <w:b/>
          <w:bCs/>
          <w:spacing w:val="14"/>
          <w:sz w:val="65"/>
          <w:szCs w:val="65"/>
          <w:lang w:val="en-US" w:eastAsia="zh-CN"/>
        </w:rPr>
        <w:t>基层大队</w:t>
      </w:r>
      <w:r>
        <w:rPr>
          <w:rFonts w:ascii="宋体" w:hAnsi="宋体" w:eastAsia="宋体" w:cs="宋体"/>
          <w:b/>
          <w:bCs/>
          <w:spacing w:val="14"/>
          <w:sz w:val="65"/>
          <w:szCs w:val="65"/>
        </w:rPr>
        <w:t>食堂原材料配送采购项目</w:t>
      </w:r>
    </w:p>
    <w:p w14:paraId="4F12EE24">
      <w:pPr>
        <w:pStyle w:val="2"/>
        <w:spacing w:line="245" w:lineRule="auto"/>
      </w:pPr>
    </w:p>
    <w:p w14:paraId="38403582">
      <w:pPr>
        <w:pStyle w:val="2"/>
        <w:spacing w:line="245" w:lineRule="auto"/>
      </w:pPr>
    </w:p>
    <w:p w14:paraId="361F1A21">
      <w:pPr>
        <w:pStyle w:val="2"/>
        <w:spacing w:line="245" w:lineRule="auto"/>
      </w:pPr>
    </w:p>
    <w:p w14:paraId="7A5E9F54">
      <w:pPr>
        <w:pStyle w:val="2"/>
        <w:spacing w:line="245" w:lineRule="auto"/>
        <w:rPr>
          <w:rFonts w:hint="default" w:eastAsia="宋体"/>
          <w:lang w:val="en-US" w:eastAsia="zh-CN"/>
        </w:rPr>
      </w:pPr>
      <w:r>
        <w:rPr>
          <w:rFonts w:hint="eastAsia" w:eastAsia="宋体"/>
          <w:lang w:val="en-US" w:eastAsia="zh-CN"/>
        </w:rPr>
        <w:t xml:space="preserve">   </w:t>
      </w:r>
    </w:p>
    <w:p w14:paraId="4508113F">
      <w:pPr>
        <w:pStyle w:val="2"/>
        <w:spacing w:before="118" w:line="219" w:lineRule="auto"/>
        <w:ind w:left="1890" w:firstLine="978" w:firstLineChars="300"/>
        <w:rPr>
          <w:rFonts w:hint="default" w:ascii="宋体" w:hAnsi="宋体" w:eastAsia="宋体" w:cs="宋体"/>
          <w:spacing w:val="-17"/>
          <w:sz w:val="36"/>
          <w:szCs w:val="36"/>
          <w:lang w:val="en-US" w:eastAsia="zh-CN"/>
        </w:rPr>
      </w:pPr>
      <w:r>
        <w:rPr>
          <w:rFonts w:hint="eastAsia" w:ascii="宋体" w:hAnsi="宋体" w:eastAsia="宋体" w:cs="宋体"/>
          <w:spacing w:val="-17"/>
          <w:sz w:val="36"/>
          <w:szCs w:val="36"/>
          <w:lang w:val="en-US" w:eastAsia="zh-CN"/>
        </w:rPr>
        <w:t>合同文本</w:t>
      </w:r>
    </w:p>
    <w:p w14:paraId="3A51596D">
      <w:pPr>
        <w:pStyle w:val="2"/>
        <w:spacing w:line="245" w:lineRule="auto"/>
      </w:pPr>
    </w:p>
    <w:p w14:paraId="3E04EAA2">
      <w:pPr>
        <w:pStyle w:val="2"/>
        <w:spacing w:line="245" w:lineRule="auto"/>
      </w:pPr>
    </w:p>
    <w:p w14:paraId="6A21715A">
      <w:pPr>
        <w:pStyle w:val="2"/>
        <w:spacing w:line="245" w:lineRule="auto"/>
      </w:pPr>
    </w:p>
    <w:p w14:paraId="0C023F16">
      <w:pPr>
        <w:pStyle w:val="2"/>
        <w:spacing w:line="246" w:lineRule="auto"/>
      </w:pPr>
    </w:p>
    <w:p w14:paraId="4FBEFAB0">
      <w:pPr>
        <w:pStyle w:val="2"/>
        <w:spacing w:line="246" w:lineRule="auto"/>
      </w:pPr>
    </w:p>
    <w:p w14:paraId="63346841">
      <w:pPr>
        <w:pStyle w:val="2"/>
        <w:spacing w:line="404" w:lineRule="auto"/>
      </w:pPr>
    </w:p>
    <w:p w14:paraId="79CDD0B0">
      <w:pPr>
        <w:pStyle w:val="2"/>
        <w:spacing w:before="118" w:line="219" w:lineRule="auto"/>
        <w:ind w:left="1890" w:firstLine="652" w:firstLineChars="200"/>
        <w:rPr>
          <w:rFonts w:ascii="宋体" w:hAnsi="宋体" w:eastAsia="宋体" w:cs="宋体"/>
          <w:spacing w:val="-17"/>
          <w:sz w:val="36"/>
          <w:szCs w:val="36"/>
        </w:rPr>
      </w:pPr>
    </w:p>
    <w:p w14:paraId="587F1488">
      <w:pPr>
        <w:pStyle w:val="2"/>
        <w:spacing w:before="118" w:line="219" w:lineRule="auto"/>
        <w:ind w:left="1890" w:firstLine="652" w:firstLineChars="200"/>
        <w:rPr>
          <w:rFonts w:ascii="宋体" w:hAnsi="宋体" w:eastAsia="宋体" w:cs="宋体"/>
          <w:spacing w:val="-17"/>
          <w:sz w:val="36"/>
          <w:szCs w:val="36"/>
        </w:rPr>
      </w:pPr>
    </w:p>
    <w:p w14:paraId="5E37E5E5">
      <w:pPr>
        <w:pStyle w:val="2"/>
        <w:spacing w:before="118" w:line="219" w:lineRule="auto"/>
        <w:ind w:left="1890" w:firstLine="652" w:firstLineChars="200"/>
        <w:rPr>
          <w:rFonts w:ascii="宋体" w:hAnsi="宋体" w:eastAsia="宋体" w:cs="宋体"/>
          <w:spacing w:val="-17"/>
          <w:sz w:val="36"/>
          <w:szCs w:val="36"/>
        </w:rPr>
      </w:pPr>
    </w:p>
    <w:p w14:paraId="3208983D">
      <w:pPr>
        <w:pStyle w:val="2"/>
        <w:spacing w:before="118" w:line="219" w:lineRule="auto"/>
        <w:ind w:left="1890" w:firstLine="652" w:firstLineChars="200"/>
        <w:rPr>
          <w:rFonts w:ascii="宋体" w:hAnsi="宋体" w:eastAsia="宋体" w:cs="宋体"/>
          <w:spacing w:val="-17"/>
          <w:sz w:val="36"/>
          <w:szCs w:val="36"/>
        </w:rPr>
      </w:pPr>
    </w:p>
    <w:p w14:paraId="4499EC61">
      <w:pPr>
        <w:pStyle w:val="2"/>
        <w:spacing w:before="118" w:line="219" w:lineRule="auto"/>
        <w:ind w:left="1890" w:firstLine="652" w:firstLineChars="200"/>
        <w:rPr>
          <w:rFonts w:ascii="宋体" w:hAnsi="宋体" w:eastAsia="宋体" w:cs="宋体"/>
          <w:spacing w:val="-17"/>
          <w:sz w:val="36"/>
          <w:szCs w:val="36"/>
        </w:rPr>
      </w:pPr>
    </w:p>
    <w:p w14:paraId="0838B3D9">
      <w:pPr>
        <w:pStyle w:val="2"/>
        <w:spacing w:before="118" w:line="219" w:lineRule="auto"/>
        <w:rPr>
          <w:rFonts w:ascii="宋体" w:hAnsi="宋体" w:eastAsia="宋体" w:cs="宋体"/>
          <w:spacing w:val="-17"/>
          <w:sz w:val="36"/>
          <w:szCs w:val="36"/>
        </w:rPr>
      </w:pPr>
    </w:p>
    <w:p w14:paraId="7C902480">
      <w:pPr>
        <w:pStyle w:val="2"/>
        <w:spacing w:before="118" w:line="219" w:lineRule="auto"/>
        <w:rPr>
          <w:rFonts w:ascii="宋体" w:hAnsi="宋体" w:eastAsia="宋体" w:cs="宋体"/>
          <w:spacing w:val="-17"/>
          <w:sz w:val="36"/>
          <w:szCs w:val="36"/>
        </w:rPr>
      </w:pPr>
    </w:p>
    <w:p w14:paraId="7226D39D">
      <w:pPr>
        <w:pStyle w:val="2"/>
        <w:spacing w:before="118" w:line="219" w:lineRule="auto"/>
        <w:ind w:firstLine="652" w:firstLineChars="200"/>
        <w:rPr>
          <w:rFonts w:ascii="宋体" w:hAnsi="宋体" w:eastAsia="宋体" w:cs="宋体"/>
          <w:spacing w:val="-17"/>
          <w:sz w:val="36"/>
          <w:szCs w:val="36"/>
        </w:rPr>
      </w:pPr>
      <w:r>
        <w:rPr>
          <w:rFonts w:ascii="宋体" w:hAnsi="宋体" w:eastAsia="宋体" w:cs="宋体"/>
          <w:spacing w:val="-17"/>
          <w:sz w:val="36"/>
          <w:szCs w:val="36"/>
        </w:rPr>
        <w:t>合同编号：</w:t>
      </w:r>
    </w:p>
    <w:p w14:paraId="18C01D9E">
      <w:pPr>
        <w:pStyle w:val="2"/>
        <w:spacing w:line="254" w:lineRule="auto"/>
      </w:pPr>
    </w:p>
    <w:p w14:paraId="2257ADFF">
      <w:pPr>
        <w:pStyle w:val="2"/>
        <w:spacing w:before="117" w:line="219" w:lineRule="auto"/>
        <w:ind w:left="650"/>
        <w:rPr>
          <w:sz w:val="36"/>
          <w:szCs w:val="36"/>
        </w:rPr>
      </w:pPr>
      <w:r>
        <w:rPr>
          <w:spacing w:val="6"/>
          <w:sz w:val="36"/>
          <w:szCs w:val="36"/>
        </w:rPr>
        <w:t>甲方(采购人):</w:t>
      </w:r>
      <w:r>
        <w:rPr>
          <w:spacing w:val="-57"/>
          <w:sz w:val="36"/>
          <w:szCs w:val="36"/>
        </w:rPr>
        <w:t xml:space="preserve"> </w:t>
      </w:r>
    </w:p>
    <w:p w14:paraId="5072C9EA">
      <w:pPr>
        <w:pStyle w:val="2"/>
        <w:spacing w:before="333" w:line="219" w:lineRule="auto"/>
        <w:ind w:firstLine="764" w:firstLineChars="200"/>
        <w:rPr>
          <w:rFonts w:hint="default" w:eastAsia="宋体"/>
          <w:sz w:val="36"/>
          <w:szCs w:val="36"/>
          <w:u w:val="single"/>
          <w:lang w:val="en-US" w:eastAsia="zh-CN"/>
        </w:rPr>
      </w:pPr>
      <w:r>
        <w:rPr>
          <w:spacing w:val="11"/>
          <w:sz w:val="36"/>
          <w:szCs w:val="36"/>
        </w:rPr>
        <w:t>乙方(供应商):</w:t>
      </w:r>
      <w:r>
        <w:rPr>
          <w:spacing w:val="-125"/>
          <w:sz w:val="36"/>
          <w:szCs w:val="36"/>
        </w:rPr>
        <w:t xml:space="preserve"> </w:t>
      </w:r>
      <w:r>
        <w:rPr>
          <w:spacing w:val="-157"/>
          <w:sz w:val="36"/>
          <w:szCs w:val="36"/>
          <w:u w:val="single" w:color="auto"/>
        </w:rPr>
        <w:t xml:space="preserve"> </w:t>
      </w:r>
      <w:r>
        <w:rPr>
          <w:rFonts w:hint="eastAsia"/>
          <w:spacing w:val="-157"/>
          <w:sz w:val="36"/>
          <w:szCs w:val="36"/>
          <w:u w:val="single" w:color="auto"/>
          <w:lang w:val="en-US" w:eastAsia="zh-CN"/>
        </w:rPr>
        <w:t xml:space="preserve">                                                                                                                                                           </w:t>
      </w:r>
      <w:r>
        <w:rPr>
          <w:spacing w:val="-157"/>
          <w:sz w:val="36"/>
          <w:szCs w:val="36"/>
          <w:u w:val="single" w:color="auto"/>
        </w:rPr>
        <w:t xml:space="preserve"> </w:t>
      </w:r>
      <w:r>
        <w:rPr>
          <w:rFonts w:hint="eastAsia"/>
          <w:spacing w:val="-157"/>
          <w:sz w:val="36"/>
          <w:szCs w:val="36"/>
          <w:u w:val="single" w:color="auto"/>
          <w:lang w:val="en-US" w:eastAsia="zh-CN"/>
        </w:rPr>
        <w:t xml:space="preserve">                                                                                                                                                                         </w:t>
      </w:r>
    </w:p>
    <w:p w14:paraId="6A7AE814">
      <w:pPr>
        <w:pStyle w:val="2"/>
        <w:spacing w:before="333" w:line="219" w:lineRule="auto"/>
        <w:ind w:left="510"/>
        <w:rPr>
          <w:rFonts w:ascii="Arial"/>
          <w:sz w:val="21"/>
          <w:u w:val="single"/>
        </w:rPr>
      </w:pPr>
    </w:p>
    <w:p w14:paraId="386D12F3">
      <w:pPr>
        <w:spacing w:line="263" w:lineRule="auto"/>
        <w:rPr>
          <w:rFonts w:ascii="Arial"/>
          <w:sz w:val="21"/>
        </w:rPr>
      </w:pPr>
    </w:p>
    <w:p w14:paraId="782176E9">
      <w:pPr>
        <w:spacing w:line="264" w:lineRule="auto"/>
        <w:rPr>
          <w:rFonts w:ascii="Arial"/>
          <w:sz w:val="21"/>
        </w:rPr>
      </w:pPr>
    </w:p>
    <w:p w14:paraId="6671A4D8">
      <w:pPr>
        <w:pStyle w:val="2"/>
        <w:spacing w:before="98" w:line="176" w:lineRule="auto"/>
        <w:ind w:left="1780"/>
        <w:rPr>
          <w:rFonts w:ascii="宋体" w:hAnsi="宋体" w:eastAsia="宋体" w:cs="宋体"/>
          <w:spacing w:val="-19"/>
          <w:sz w:val="30"/>
          <w:szCs w:val="30"/>
        </w:rPr>
      </w:pPr>
      <w:r>
        <w:rPr>
          <w:rFonts w:ascii="宋体" w:hAnsi="宋体" w:eastAsia="宋体" w:cs="宋体"/>
          <w:spacing w:val="-19"/>
          <w:sz w:val="30"/>
          <w:szCs w:val="30"/>
        </w:rPr>
        <w:t xml:space="preserve">签 订 时 间 ：    年 </w:t>
      </w:r>
      <w:r>
        <w:rPr>
          <w:rFonts w:hint="eastAsia" w:ascii="宋体" w:hAnsi="宋体" w:eastAsia="宋体" w:cs="宋体"/>
          <w:spacing w:val="-19"/>
          <w:sz w:val="30"/>
          <w:szCs w:val="30"/>
          <w:lang w:val="en-US" w:eastAsia="zh-CN"/>
        </w:rPr>
        <w:t xml:space="preserve">  </w:t>
      </w:r>
      <w:r>
        <w:rPr>
          <w:rFonts w:ascii="宋体" w:hAnsi="宋体" w:eastAsia="宋体" w:cs="宋体"/>
          <w:spacing w:val="-19"/>
          <w:sz w:val="30"/>
          <w:szCs w:val="30"/>
        </w:rPr>
        <w:t>月</w:t>
      </w:r>
      <w:r>
        <w:rPr>
          <w:rFonts w:hint="eastAsia" w:ascii="宋体" w:hAnsi="宋体" w:eastAsia="宋体" w:cs="宋体"/>
          <w:spacing w:val="-19"/>
          <w:sz w:val="30"/>
          <w:szCs w:val="30"/>
          <w:lang w:val="en-US" w:eastAsia="zh-CN"/>
        </w:rPr>
        <w:t xml:space="preserve">   </w:t>
      </w:r>
      <w:r>
        <w:rPr>
          <w:rFonts w:ascii="宋体" w:hAnsi="宋体" w:eastAsia="宋体" w:cs="宋体"/>
          <w:spacing w:val="-19"/>
          <w:sz w:val="30"/>
          <w:szCs w:val="30"/>
        </w:rPr>
        <w:t xml:space="preserve"> 日</w:t>
      </w:r>
    </w:p>
    <w:p w14:paraId="11DD96CD">
      <w:pPr>
        <w:pStyle w:val="2"/>
        <w:spacing w:before="98" w:line="176" w:lineRule="auto"/>
        <w:ind w:left="1780"/>
        <w:rPr>
          <w:rFonts w:ascii="宋体" w:hAnsi="宋体" w:eastAsia="宋体" w:cs="宋体"/>
          <w:spacing w:val="-19"/>
          <w:sz w:val="30"/>
          <w:szCs w:val="30"/>
        </w:rPr>
        <w:sectPr>
          <w:footerReference r:id="rId5" w:type="default"/>
          <w:pgSz w:w="11920" w:h="16840"/>
          <w:pgMar w:top="1440" w:right="1800" w:bottom="1440" w:left="1800" w:header="0" w:footer="558" w:gutter="0"/>
          <w:cols w:space="720" w:num="1"/>
        </w:sectPr>
      </w:pPr>
    </w:p>
    <w:p w14:paraId="7B2D6CD4">
      <w:pPr>
        <w:pStyle w:val="2"/>
        <w:spacing w:before="91" w:line="219" w:lineRule="auto"/>
        <w:ind w:left="575"/>
        <w:rPr>
          <w:sz w:val="28"/>
          <w:szCs w:val="28"/>
        </w:rPr>
      </w:pPr>
    </w:p>
    <w:p w14:paraId="5199FD4D">
      <w:pPr>
        <w:pStyle w:val="2"/>
        <w:spacing w:before="91" w:line="219" w:lineRule="auto"/>
        <w:ind w:left="575"/>
        <w:rPr>
          <w:sz w:val="28"/>
          <w:szCs w:val="28"/>
        </w:rPr>
      </w:pPr>
      <w:r>
        <w:rPr>
          <w:sz w:val="28"/>
          <w:szCs w:val="28"/>
        </w:rPr>
        <w:t>甲方(采购人):</w:t>
      </w:r>
      <w:r>
        <w:rPr>
          <w:spacing w:val="-57"/>
          <w:sz w:val="28"/>
          <w:szCs w:val="28"/>
        </w:rPr>
        <w:t xml:space="preserve"> </w:t>
      </w:r>
    </w:p>
    <w:p w14:paraId="427FABB4">
      <w:pPr>
        <w:spacing w:line="294" w:lineRule="auto"/>
        <w:rPr>
          <w:rFonts w:ascii="Arial"/>
          <w:sz w:val="21"/>
        </w:rPr>
      </w:pPr>
    </w:p>
    <w:p w14:paraId="69DC195F">
      <w:pPr>
        <w:pStyle w:val="2"/>
        <w:spacing w:before="91" w:line="219" w:lineRule="auto"/>
        <w:ind w:left="585"/>
        <w:rPr>
          <w:rFonts w:hint="default" w:eastAsia="宋体"/>
          <w:sz w:val="28"/>
          <w:szCs w:val="28"/>
          <w:lang w:val="en-US" w:eastAsia="zh-CN"/>
        </w:rPr>
      </w:pPr>
      <w:r>
        <w:rPr>
          <w:sz w:val="28"/>
          <w:szCs w:val="28"/>
        </w:rPr>
        <w:t>乙方(供应商):</w:t>
      </w:r>
      <w:r>
        <w:rPr>
          <w:spacing w:val="-90"/>
          <w:sz w:val="28"/>
          <w:szCs w:val="28"/>
        </w:rPr>
        <w:t xml:space="preserve"> </w:t>
      </w:r>
      <w:r>
        <w:rPr>
          <w:spacing w:val="-122"/>
          <w:sz w:val="28"/>
          <w:szCs w:val="28"/>
          <w:u w:val="single" w:color="auto"/>
        </w:rPr>
        <w:t xml:space="preserve"> </w:t>
      </w:r>
      <w:r>
        <w:rPr>
          <w:rFonts w:hint="eastAsia"/>
          <w:spacing w:val="-122"/>
          <w:sz w:val="28"/>
          <w:szCs w:val="28"/>
          <w:u w:val="single" w:color="auto"/>
          <w:lang w:val="en-US" w:eastAsia="zh-CN"/>
        </w:rPr>
        <w:t xml:space="preserve">                                                                                                                                         </w:t>
      </w:r>
    </w:p>
    <w:p w14:paraId="6047A000">
      <w:pPr>
        <w:pStyle w:val="2"/>
        <w:spacing w:line="328" w:lineRule="auto"/>
      </w:pPr>
    </w:p>
    <w:p w14:paraId="09C679BB">
      <w:pPr>
        <w:ind w:firstLine="532" w:firstLineChars="200"/>
        <w:rPr>
          <w:rFonts w:ascii="宋体" w:hAnsi="宋体" w:eastAsia="宋体" w:cs="宋体"/>
          <w:snapToGrid w:val="0"/>
          <w:color w:val="000000"/>
          <w:spacing w:val="-7"/>
          <w:kern w:val="0"/>
          <w:sz w:val="28"/>
          <w:szCs w:val="28"/>
          <w:lang w:val="en-US" w:eastAsia="en-US" w:bidi="ar-SA"/>
        </w:rPr>
      </w:pPr>
      <w:r>
        <w:rPr>
          <w:rFonts w:ascii="宋体" w:hAnsi="宋体" w:eastAsia="宋体" w:cs="宋体"/>
          <w:snapToGrid w:val="0"/>
          <w:color w:val="000000"/>
          <w:spacing w:val="-7"/>
          <w:kern w:val="0"/>
          <w:sz w:val="28"/>
          <w:szCs w:val="28"/>
          <w:lang w:val="en-US" w:eastAsia="en-US" w:bidi="ar-SA"/>
        </w:rPr>
        <w:t xml:space="preserve">甲乙双方根据  </w:t>
      </w:r>
      <w:r>
        <w:rPr>
          <w:rFonts w:hint="eastAsia" w:ascii="宋体" w:hAnsi="宋体" w:eastAsia="宋体" w:cs="宋体"/>
          <w:snapToGrid w:val="0"/>
          <w:color w:val="000000"/>
          <w:spacing w:val="-7"/>
          <w:kern w:val="0"/>
          <w:sz w:val="28"/>
          <w:szCs w:val="28"/>
          <w:lang w:val="en-US" w:eastAsia="zh-CN" w:bidi="ar-SA"/>
        </w:rPr>
        <w:t xml:space="preserve">  </w:t>
      </w:r>
      <w:r>
        <w:rPr>
          <w:rFonts w:ascii="宋体" w:hAnsi="宋体" w:eastAsia="宋体" w:cs="宋体"/>
          <w:snapToGrid w:val="0"/>
          <w:color w:val="000000"/>
          <w:spacing w:val="-7"/>
          <w:kern w:val="0"/>
          <w:sz w:val="28"/>
          <w:szCs w:val="28"/>
          <w:lang w:val="en-US" w:eastAsia="en-US" w:bidi="ar-SA"/>
        </w:rPr>
        <w:t>年  月</w:t>
      </w:r>
      <w:r>
        <w:rPr>
          <w:rFonts w:hint="eastAsia" w:ascii="宋体" w:hAnsi="宋体" w:eastAsia="宋体" w:cs="宋体"/>
          <w:snapToGrid w:val="0"/>
          <w:color w:val="000000"/>
          <w:spacing w:val="-7"/>
          <w:kern w:val="0"/>
          <w:sz w:val="28"/>
          <w:szCs w:val="28"/>
          <w:lang w:val="en-US" w:eastAsia="zh-CN" w:bidi="ar-SA"/>
        </w:rPr>
        <w:t xml:space="preserve"> </w:t>
      </w:r>
      <w:r>
        <w:rPr>
          <w:rFonts w:ascii="宋体" w:hAnsi="宋体" w:eastAsia="宋体" w:cs="宋体"/>
          <w:snapToGrid w:val="0"/>
          <w:color w:val="000000"/>
          <w:spacing w:val="-7"/>
          <w:kern w:val="0"/>
          <w:sz w:val="28"/>
          <w:szCs w:val="28"/>
          <w:lang w:val="en-US" w:eastAsia="en-US" w:bidi="ar-SA"/>
        </w:rPr>
        <w:t xml:space="preserve"> 日渭南市消防救援</w:t>
      </w:r>
      <w:r>
        <w:rPr>
          <w:rFonts w:hint="eastAsia" w:ascii="宋体" w:hAnsi="宋体" w:eastAsia="宋体" w:cs="宋体"/>
          <w:snapToGrid w:val="0"/>
          <w:color w:val="000000"/>
          <w:spacing w:val="-7"/>
          <w:kern w:val="0"/>
          <w:sz w:val="28"/>
          <w:szCs w:val="28"/>
          <w:lang w:val="en-US" w:eastAsia="zh-CN" w:bidi="ar-SA"/>
        </w:rPr>
        <w:t>支队基层大队食堂</w:t>
      </w:r>
      <w:r>
        <w:rPr>
          <w:rFonts w:ascii="宋体" w:hAnsi="宋体" w:eastAsia="宋体" w:cs="宋体"/>
          <w:snapToGrid w:val="0"/>
          <w:color w:val="000000"/>
          <w:spacing w:val="-7"/>
          <w:kern w:val="0"/>
          <w:sz w:val="28"/>
          <w:szCs w:val="28"/>
          <w:lang w:val="en-US" w:eastAsia="en-US" w:bidi="ar-SA"/>
        </w:rPr>
        <w:t>原材料配送采购项</w:t>
      </w:r>
      <w:r>
        <w:rPr>
          <w:rFonts w:hint="eastAsia" w:ascii="宋体" w:hAnsi="宋体" w:eastAsia="宋体" w:cs="宋体"/>
          <w:snapToGrid w:val="0"/>
          <w:color w:val="000000"/>
          <w:spacing w:val="-7"/>
          <w:kern w:val="0"/>
          <w:sz w:val="28"/>
          <w:szCs w:val="28"/>
          <w:lang w:val="en-US" w:eastAsia="zh-CN" w:bidi="ar-SA"/>
        </w:rPr>
        <w:t>目</w:t>
      </w:r>
      <w:r>
        <w:rPr>
          <w:rFonts w:ascii="宋体" w:hAnsi="宋体" w:eastAsia="宋体" w:cs="宋体"/>
          <w:snapToGrid w:val="0"/>
          <w:color w:val="000000"/>
          <w:spacing w:val="-7"/>
          <w:kern w:val="0"/>
          <w:sz w:val="28"/>
          <w:szCs w:val="28"/>
          <w:lang w:val="en-US" w:eastAsia="en-US" w:bidi="ar-SA"/>
        </w:rPr>
        <w:t>及相关招标文件及投标文件， 按照《中华人民共和国政府采购法》和《中华人民共和国民法典》 , 经协商一 致 ，订立本合同 ，供双方共同遵守 ：</w:t>
      </w:r>
    </w:p>
    <w:p w14:paraId="7BAD333D">
      <w:pPr>
        <w:pStyle w:val="2"/>
        <w:spacing w:before="22" w:line="219" w:lineRule="auto"/>
        <w:ind w:left="89"/>
        <w:outlineLvl w:val="2"/>
        <w:rPr>
          <w:rFonts w:ascii="宋体" w:hAnsi="宋体" w:eastAsia="宋体" w:cs="宋体"/>
          <w:b/>
          <w:bCs/>
          <w:spacing w:val="11"/>
          <w:sz w:val="28"/>
          <w:szCs w:val="28"/>
          <w:lang w:val="en-US" w:eastAsia="en-US"/>
        </w:rPr>
      </w:pPr>
      <w:r>
        <w:rPr>
          <w:rFonts w:ascii="宋体" w:hAnsi="宋体" w:eastAsia="宋体" w:cs="宋体"/>
          <w:b/>
          <w:bCs/>
          <w:spacing w:val="11"/>
          <w:sz w:val="28"/>
          <w:szCs w:val="28"/>
          <w:lang w:val="en-US" w:eastAsia="en-US"/>
        </w:rPr>
        <w:t>第一条   合同约定的内容</w:t>
      </w:r>
    </w:p>
    <w:p w14:paraId="66EBBC0E">
      <w:pPr>
        <w:pStyle w:val="2"/>
        <w:spacing w:before="22" w:line="219" w:lineRule="auto"/>
        <w:ind w:left="89" w:firstLine="604" w:firstLineChars="200"/>
        <w:outlineLvl w:val="2"/>
        <w:rPr>
          <w:rFonts w:ascii="宋体" w:hAnsi="宋体" w:eastAsia="宋体" w:cs="宋体"/>
          <w:snapToGrid w:val="0"/>
          <w:color w:val="000000"/>
          <w:spacing w:val="-7"/>
          <w:kern w:val="0"/>
          <w:sz w:val="28"/>
          <w:szCs w:val="28"/>
          <w:lang w:val="en-US" w:eastAsia="en-US" w:bidi="ar-SA"/>
        </w:rPr>
      </w:pPr>
      <w:r>
        <w:rPr>
          <w:rFonts w:ascii="宋体" w:hAnsi="宋体" w:eastAsia="宋体" w:cs="宋体"/>
          <w:b w:val="0"/>
          <w:bCs w:val="0"/>
          <w:spacing w:val="11"/>
          <w:sz w:val="28"/>
          <w:szCs w:val="28"/>
          <w:lang w:val="en-US" w:eastAsia="en-US"/>
        </w:rPr>
        <w:t>1 、服务内容：</w:t>
      </w:r>
      <w:r>
        <w:rPr>
          <w:rFonts w:ascii="宋体" w:hAnsi="宋体" w:eastAsia="宋体" w:cs="宋体"/>
          <w:snapToGrid w:val="0"/>
          <w:color w:val="000000"/>
          <w:spacing w:val="-7"/>
          <w:kern w:val="0"/>
          <w:sz w:val="28"/>
          <w:szCs w:val="28"/>
          <w:lang w:val="en-US" w:eastAsia="en-US" w:bidi="ar-SA"/>
        </w:rPr>
        <w:t>渭南市消防救援</w:t>
      </w:r>
      <w:r>
        <w:rPr>
          <w:rFonts w:hint="eastAsia" w:ascii="宋体" w:hAnsi="宋体" w:eastAsia="宋体" w:cs="宋体"/>
          <w:snapToGrid w:val="0"/>
          <w:color w:val="000000"/>
          <w:spacing w:val="-7"/>
          <w:kern w:val="0"/>
          <w:sz w:val="28"/>
          <w:szCs w:val="28"/>
          <w:lang w:val="en-US" w:eastAsia="zh-CN" w:bidi="ar-SA"/>
        </w:rPr>
        <w:t>支队基层大队食堂</w:t>
      </w:r>
      <w:r>
        <w:rPr>
          <w:rFonts w:ascii="宋体" w:hAnsi="宋体" w:eastAsia="宋体" w:cs="宋体"/>
          <w:snapToGrid w:val="0"/>
          <w:color w:val="000000"/>
          <w:spacing w:val="-7"/>
          <w:kern w:val="0"/>
          <w:sz w:val="28"/>
          <w:szCs w:val="28"/>
          <w:lang w:val="en-US" w:eastAsia="en-US" w:bidi="ar-SA"/>
        </w:rPr>
        <w:t>原材料配送</w:t>
      </w:r>
    </w:p>
    <w:p w14:paraId="67713DB0">
      <w:pPr>
        <w:pStyle w:val="2"/>
        <w:spacing w:before="22" w:line="219" w:lineRule="auto"/>
        <w:ind w:left="89" w:firstLine="604" w:firstLineChars="200"/>
        <w:outlineLvl w:val="2"/>
        <w:rPr>
          <w:rFonts w:ascii="宋体" w:hAnsi="宋体" w:eastAsia="宋体" w:cs="宋体"/>
          <w:b w:val="0"/>
          <w:bCs w:val="0"/>
          <w:spacing w:val="11"/>
          <w:sz w:val="28"/>
          <w:szCs w:val="28"/>
          <w:lang w:val="en-US" w:eastAsia="en-US"/>
        </w:rPr>
      </w:pPr>
      <w:r>
        <w:rPr>
          <w:rFonts w:ascii="宋体" w:hAnsi="宋体" w:eastAsia="宋体" w:cs="宋体"/>
          <w:b w:val="0"/>
          <w:bCs w:val="0"/>
          <w:spacing w:val="11"/>
          <w:sz w:val="28"/>
          <w:szCs w:val="28"/>
          <w:lang w:val="en-US" w:eastAsia="en-US"/>
        </w:rPr>
        <w:t>2、产品包括但不限于：大米</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食用油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面粉</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鲜肉</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蔬菜</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调料</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水果</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乳制品等</w:t>
      </w:r>
      <w:r>
        <w:rPr>
          <w:rFonts w:hint="eastAsia" w:ascii="宋体" w:hAnsi="宋体" w:eastAsia="宋体" w:cs="宋体"/>
          <w:b w:val="0"/>
          <w:bCs w:val="0"/>
          <w:spacing w:val="11"/>
          <w:sz w:val="28"/>
          <w:szCs w:val="28"/>
          <w:lang w:val="en-US" w:eastAsia="zh-CN"/>
        </w:rPr>
        <w:t>品</w:t>
      </w:r>
      <w:r>
        <w:rPr>
          <w:rFonts w:ascii="宋体" w:hAnsi="宋体" w:eastAsia="宋体" w:cs="宋体"/>
          <w:b w:val="0"/>
          <w:bCs w:val="0"/>
          <w:spacing w:val="11"/>
          <w:sz w:val="28"/>
          <w:szCs w:val="28"/>
          <w:lang w:val="en-US" w:eastAsia="en-US"/>
        </w:rPr>
        <w:t>种。</w:t>
      </w:r>
    </w:p>
    <w:p w14:paraId="3E154854">
      <w:pPr>
        <w:pStyle w:val="2"/>
        <w:spacing w:before="22" w:line="219" w:lineRule="auto"/>
        <w:ind w:left="89"/>
        <w:outlineLvl w:val="2"/>
        <w:rPr>
          <w:rFonts w:ascii="宋体" w:hAnsi="宋体" w:eastAsia="宋体" w:cs="宋体"/>
          <w:b/>
          <w:bCs/>
          <w:spacing w:val="11"/>
          <w:sz w:val="28"/>
          <w:szCs w:val="28"/>
          <w:lang w:val="en-US" w:eastAsia="en-US"/>
        </w:rPr>
      </w:pPr>
      <w:r>
        <w:rPr>
          <w:rFonts w:ascii="宋体" w:hAnsi="宋体" w:eastAsia="宋体" w:cs="宋体"/>
          <w:b/>
          <w:bCs/>
          <w:spacing w:val="11"/>
          <w:sz w:val="28"/>
          <w:szCs w:val="28"/>
          <w:lang w:val="en-US" w:eastAsia="en-US"/>
        </w:rPr>
        <w:t>第二条   合同金额</w:t>
      </w:r>
    </w:p>
    <w:p w14:paraId="3D9B19A8">
      <w:pPr>
        <w:pStyle w:val="2"/>
        <w:spacing w:before="22" w:line="219" w:lineRule="auto"/>
        <w:ind w:left="89" w:firstLine="604" w:firstLineChars="200"/>
        <w:outlineLvl w:val="2"/>
        <w:rPr>
          <w:rFonts w:ascii="宋体" w:hAnsi="宋体" w:eastAsia="宋体" w:cs="宋体"/>
          <w:b/>
          <w:bCs/>
          <w:spacing w:val="11"/>
          <w:sz w:val="28"/>
          <w:szCs w:val="28"/>
          <w:lang w:val="en-US" w:eastAsia="en-US"/>
        </w:rPr>
      </w:pPr>
      <w:r>
        <w:rPr>
          <w:rFonts w:ascii="宋体" w:hAnsi="宋体" w:eastAsia="宋体" w:cs="宋体"/>
          <w:b w:val="0"/>
          <w:bCs w:val="0"/>
          <w:spacing w:val="11"/>
          <w:sz w:val="28"/>
          <w:szCs w:val="28"/>
          <w:lang w:val="en-US" w:eastAsia="en-US"/>
        </w:rPr>
        <w:t>本合同为优惠率合同</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 xml:space="preserve">合同优惠率为：      </w:t>
      </w:r>
      <w:r>
        <w:rPr>
          <w:rFonts w:hint="eastAsia" w:ascii="宋体" w:hAnsi="宋体" w:eastAsia="宋体" w:cs="宋体"/>
          <w:b w:val="0"/>
          <w:bCs w:val="0"/>
          <w:spacing w:val="11"/>
          <w:sz w:val="28"/>
          <w:szCs w:val="28"/>
          <w:lang w:val="en-US" w:eastAsia="zh-CN"/>
        </w:rPr>
        <w:t xml:space="preserve">  </w:t>
      </w:r>
      <w:r>
        <w:rPr>
          <w:rFonts w:ascii="宋体" w:hAnsi="宋体" w:eastAsia="宋体" w:cs="宋体"/>
          <w:b w:val="0"/>
          <w:bCs w:val="0"/>
          <w:spacing w:val="11"/>
          <w:sz w:val="28"/>
          <w:szCs w:val="28"/>
          <w:lang w:val="en-US" w:eastAsia="en-US"/>
        </w:rPr>
        <w:t>%</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合同优惠率即中标优惠率</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为一次性报价</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不受市场价变化或实际工作量变化的影响</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合同价格为含税价</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包括但不限于以下内容：人工费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食材费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运输费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仓储费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装卸费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设备车辆配置费</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利润</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税金</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保险</w:t>
      </w:r>
      <w:r>
        <w:rPr>
          <w:rFonts w:hint="eastAsia" w:ascii="宋体" w:hAnsi="宋体" w:eastAsia="宋体" w:cs="宋体"/>
          <w:b w:val="0"/>
          <w:bCs w:val="0"/>
          <w:spacing w:val="11"/>
          <w:sz w:val="28"/>
          <w:szCs w:val="28"/>
          <w:lang w:val="en-US" w:eastAsia="zh-CN"/>
        </w:rPr>
        <w:t>、</w:t>
      </w:r>
      <w:r>
        <w:rPr>
          <w:rFonts w:ascii="宋体" w:hAnsi="宋体" w:eastAsia="宋体" w:cs="宋体"/>
          <w:b w:val="0"/>
          <w:bCs w:val="0"/>
          <w:spacing w:val="11"/>
          <w:sz w:val="28"/>
          <w:szCs w:val="28"/>
          <w:lang w:val="en-US" w:eastAsia="en-US"/>
        </w:rPr>
        <w:t>验收等所需的全部费用 。</w:t>
      </w:r>
    </w:p>
    <w:p w14:paraId="23E04E49">
      <w:pPr>
        <w:rPr>
          <w:rFonts w:ascii="宋体" w:hAnsi="宋体" w:eastAsia="宋体" w:cs="宋体"/>
          <w:snapToGrid w:val="0"/>
          <w:color w:val="000000"/>
          <w:spacing w:val="-7"/>
          <w:kern w:val="0"/>
          <w:sz w:val="28"/>
          <w:szCs w:val="28"/>
          <w:lang w:val="en-US" w:eastAsia="en-US" w:bidi="ar-SA"/>
        </w:rPr>
      </w:pPr>
      <w:r>
        <w:rPr>
          <w:rFonts w:ascii="宋体" w:hAnsi="宋体" w:eastAsia="宋体" w:cs="宋体"/>
          <w:b/>
          <w:bCs/>
          <w:snapToGrid w:val="0"/>
          <w:color w:val="000000"/>
          <w:spacing w:val="-7"/>
          <w:kern w:val="0"/>
          <w:sz w:val="28"/>
          <w:szCs w:val="28"/>
          <w:lang w:val="en-US" w:eastAsia="en-US" w:bidi="ar-SA"/>
        </w:rPr>
        <w:t>第三条   配送食品的内容及标准</w:t>
      </w:r>
    </w:p>
    <w:p w14:paraId="2EEB7D29">
      <w:pPr>
        <w:ind w:firstLine="532" w:firstLineChars="200"/>
        <w:rPr>
          <w:rFonts w:ascii="宋体" w:hAnsi="宋体" w:eastAsia="宋体" w:cs="宋体"/>
          <w:snapToGrid w:val="0"/>
          <w:color w:val="000000"/>
          <w:spacing w:val="-7"/>
          <w:kern w:val="0"/>
          <w:sz w:val="28"/>
          <w:szCs w:val="28"/>
          <w:lang w:val="en-US" w:eastAsia="en-US" w:bidi="ar-SA"/>
        </w:rPr>
      </w:pPr>
      <w:r>
        <w:rPr>
          <w:rFonts w:ascii="宋体" w:hAnsi="宋体" w:eastAsia="宋体" w:cs="宋体"/>
          <w:snapToGrid w:val="0"/>
          <w:color w:val="000000"/>
          <w:spacing w:val="-7"/>
          <w:kern w:val="0"/>
          <w:sz w:val="28"/>
          <w:szCs w:val="28"/>
          <w:lang w:val="en-US" w:eastAsia="en-US" w:bidi="ar-SA"/>
        </w:rPr>
        <w:t>( 1) 大米必须符合为GB/T1354-2018《大米》标准 ，在保质期内，有合格标志 。</w:t>
      </w:r>
    </w:p>
    <w:p w14:paraId="0AD37A7E">
      <w:pPr>
        <w:ind w:firstLine="532" w:firstLineChars="200"/>
        <w:rPr>
          <w:rFonts w:ascii="宋体" w:hAnsi="宋体" w:eastAsia="宋体" w:cs="宋体"/>
          <w:snapToGrid w:val="0"/>
          <w:color w:val="000000"/>
          <w:spacing w:val="-7"/>
          <w:kern w:val="0"/>
          <w:sz w:val="28"/>
          <w:szCs w:val="28"/>
          <w:lang w:val="en-US" w:eastAsia="en-US" w:bidi="ar-SA"/>
        </w:rPr>
      </w:pPr>
      <w:r>
        <w:rPr>
          <w:rFonts w:ascii="宋体" w:hAnsi="宋体" w:eastAsia="宋体" w:cs="宋体"/>
          <w:snapToGrid w:val="0"/>
          <w:color w:val="000000"/>
          <w:spacing w:val="-7"/>
          <w:kern w:val="0"/>
          <w:sz w:val="28"/>
          <w:szCs w:val="28"/>
          <w:lang w:val="en-US" w:eastAsia="en-US" w:bidi="ar-SA"/>
        </w:rPr>
        <w:t>(2) 食用油必须符合GB/T1536-2021《菜籽油》标准，在保质期内</w:t>
      </w:r>
      <w:r>
        <w:rPr>
          <w:rFonts w:hint="eastAsia" w:ascii="宋体" w:hAnsi="宋体" w:eastAsia="宋体" w:cs="宋体"/>
          <w:snapToGrid w:val="0"/>
          <w:color w:val="000000"/>
          <w:spacing w:val="-7"/>
          <w:kern w:val="0"/>
          <w:sz w:val="28"/>
          <w:szCs w:val="28"/>
          <w:lang w:val="en-US" w:eastAsia="zh-CN" w:bidi="ar-SA"/>
        </w:rPr>
        <w:t>，</w:t>
      </w:r>
      <w:r>
        <w:rPr>
          <w:rFonts w:ascii="宋体" w:hAnsi="宋体" w:eastAsia="宋体" w:cs="宋体"/>
          <w:snapToGrid w:val="0"/>
          <w:color w:val="000000"/>
          <w:spacing w:val="-7"/>
          <w:kern w:val="0"/>
          <w:sz w:val="28"/>
          <w:szCs w:val="28"/>
          <w:lang w:val="en-US" w:eastAsia="en-US" w:bidi="ar-SA"/>
        </w:rPr>
        <w:t>有合格标志。</w:t>
      </w:r>
    </w:p>
    <w:p w14:paraId="754275D5">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(3)面粉必须符合GB/T1355-2021《小麦粉》标准，在保质期内，有合格标志。</w:t>
      </w:r>
    </w:p>
    <w:p w14:paraId="08C3754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(4)食堂副食品、调味品(食盐、味精、酱油、醋等)在保质期内，有合格标志。</w:t>
      </w:r>
    </w:p>
    <w:p w14:paraId="1EF31F3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(5)饮用奶必须符合GB19301-2010《生乳》规定的原奶生产， 在保质期内，有合格标志。</w:t>
      </w:r>
    </w:p>
    <w:p w14:paraId="42A68267">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(6)配送的鲜肉类必须在定点屠宰场(或宰杀店)宰杀加工，并经动物卫生检疫机构检疫合格，加盖检疫合格印章和屠宰场印章，并附有《动物产品检疫合格证明》。</w:t>
      </w:r>
    </w:p>
    <w:p w14:paraId="1FDD6EC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(7)蔬菜：1)叶菜类：新鲜、色泽鲜亮、无腐烂、无干叶、捆把内部无杂乱 夹塞，菜品粗细均匀，脆嫩不老，不抽苔。茎部不老化，个体均匀，未发芽、变色。</w:t>
      </w:r>
    </w:p>
    <w:p w14:paraId="6158070F">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2)根茎类：茎部不老化，个体均匀，未发芽、变色。</w:t>
      </w:r>
    </w:p>
    <w:p w14:paraId="77F1250A">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3)花果类：个体均匀，无腐烂、无变色，允许果型有轻微缺点， 但不得变形、过熟。</w:t>
      </w:r>
    </w:p>
    <w:p w14:paraId="323D7701">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4)菇菌类：外形饱满，不发霉、变黑。</w:t>
      </w:r>
    </w:p>
    <w:p w14:paraId="1B5FE2D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(8)水果：时令水果，个体均匀，无腐烂、无变色，允许果型有轻微缺点，但不得变形、过熟。</w:t>
      </w:r>
    </w:p>
    <w:p w14:paraId="313D8FA4">
      <w:pPr>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注：以上食材标准有更新的或其他未明确的原材料采购标准，按 国家最新的相关标准执行。</w:t>
      </w:r>
    </w:p>
    <w:p w14:paraId="2A0DCE7F">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第四条 配送要求</w:t>
      </w:r>
    </w:p>
    <w:p w14:paraId="293A032E">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1、配送过程中的价格，根据蔬菜行业的各种特殊性，要采取随行就市的原则定期报价。</w:t>
      </w:r>
    </w:p>
    <w:p w14:paraId="42D72F0C">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2、配送公司要在甲方规定的时间内把蔬菜食品运至甲方食堂，如有临时增加配送任务，应在半小时之内配送完成，以保障甲方食堂的正常运行。</w:t>
      </w:r>
    </w:p>
    <w:p w14:paraId="7279A9F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3、注重农产品质量，通过配送使健康绿色蔬菜及时送到甲方食堂，让职工能轻松体验健康蔬菜食品。</w:t>
      </w:r>
    </w:p>
    <w:p w14:paraId="00309006">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第五条 配送基本情况</w:t>
      </w:r>
    </w:p>
    <w:p w14:paraId="4396F018">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餐厅供应模式为早、午、晚分段供应；用餐人数约XXXX人。早餐品种为4种以上凉菜及主、副食等；午餐为4种以上热菜，配主食、面食、水果等；晚餐不少于3种热菜配主食等。供应商负责日常餐厅原材料的采购和配送，保证机关餐厅正常开餐，保障本单位应对突发事件和应急备勤时期的原材料供给。</w:t>
      </w:r>
    </w:p>
    <w:p w14:paraId="2C6951B2">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第六条 交付和验收</w:t>
      </w:r>
    </w:p>
    <w:p w14:paraId="71FEE7C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1、服务期限：合同签订之日起一年。</w:t>
      </w:r>
    </w:p>
    <w:p w14:paraId="2CD30BC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2、服务地点：甲方指定地点。</w:t>
      </w:r>
    </w:p>
    <w:p w14:paraId="10B3F19E">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3、验收标准：符合《中华人民共和国食品安全法》、国家法律法 规规定的标准、食品卫生管理制度、甲方要求、招标文件和乙方投标 文件所要求的技术标准。</w:t>
      </w:r>
    </w:p>
    <w:p w14:paraId="66850C2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第七条 结算方式</w:t>
      </w:r>
    </w:p>
    <w:p w14:paraId="44E878B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1、结账方式为月结方式，每月20号完成上月结账且年度总额不超出审批的采购预算。在付款前，乙方必须开具增值税普通发票给甲方。乙方未及时开具发票的，甲方有权拒绝付款且不承担违约责任。</w:t>
      </w:r>
    </w:p>
    <w:p w14:paraId="02DAE8F4">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2、定价方式：供应商以当日发改委公布的市场价为依据，在此基础上进行下浮优惠率报价。如供应商下浮优惠率为5%，则货物结算金额=市场价*(1-5%)。</w:t>
      </w:r>
    </w:p>
    <w:p w14:paraId="6FC3130E">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p>
    <w:p w14:paraId="39E71B34">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注：当结算总金额高于本项目预算金额时，以本项目预算金额作为结算金额，当结算总金额低于本项目预算金额时，按实结算。</w:t>
      </w:r>
    </w:p>
    <w:p w14:paraId="3573DDC4">
      <w:pPr>
        <w:ind w:firstLine="606" w:firstLineChars="200"/>
        <w:rPr>
          <w:rFonts w:hint="eastAsia" w:ascii="宋体" w:hAnsi="宋体" w:eastAsia="宋体" w:cs="宋体"/>
          <w:b/>
          <w:bCs/>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第九条  甲乙双方的权利、义务</w:t>
      </w:r>
    </w:p>
    <w:p w14:paraId="2D786F4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 一 )甲方：</w:t>
      </w:r>
    </w:p>
    <w:p w14:paraId="07F622E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甲方有权监督乙方工作执行情况并进行评估考核。如：食品配送品质、数量、卫生、服务等情况、安全设施有效情况、乙方的设备、器具安全卫生等情况进行监督检查,特别是食物中毒事故预防。一旦发生食物中毒事故,甲方有权立即解除合同并要求乙方赔偿损失 。乙方提供的食材未达到合格标准,甲方有权要求乙方进行整改和完善,逾期未整改或整改不合格的,甲方有权按照甲方相关规定对乙方进行</w:t>
      </w:r>
    </w:p>
    <w:p w14:paraId="5D4F51E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经济处罚。</w:t>
      </w:r>
    </w:p>
    <w:p w14:paraId="349308E7">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2、甲方有权向乙方提出合理化建议，乙方应予以采纳；</w:t>
      </w:r>
    </w:p>
    <w:p w14:paraId="1B92A800">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3、甲方有权根据市场原材料价格调查情况核实乙方供应原材料的价格明细，若经核实乙方供应价格高于市场价格，甲方有权要求乙方</w:t>
      </w:r>
    </w:p>
    <w:p w14:paraId="09C2719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进行整改，整改不合格的，甲方有权解除合同。</w:t>
      </w:r>
    </w:p>
    <w:p w14:paraId="16B3F8C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(二 ) 乙方 ：</w:t>
      </w:r>
    </w:p>
    <w:p w14:paraId="3D4241B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1、乙方所指派的项目负责人，在合同履行中未经甲方同意不得擅自更换他人。</w:t>
      </w:r>
    </w:p>
    <w:p w14:paraId="18815DA9">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 xml:space="preserve">乙方项目负责人：          ,联系电话 ：                     </w:t>
      </w:r>
    </w:p>
    <w:p w14:paraId="44A1D9ED">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项目负责人不得随意更换，需得到甲方的同意后方可更换项目负责人，乙方如私自更换项 目负责人且未得到甲方的同意， 甲方有权对乙方处以罚款。</w:t>
      </w:r>
    </w:p>
    <w:p w14:paraId="0B65C6C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 、乙方必须持有有效的食品经营许可证，并按照有效期限及时审验。</w:t>
      </w:r>
    </w:p>
    <w:p w14:paraId="31AB0782">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3 、乙方从业人员必须定期体检，持有效的健康证上岗操作。对因乙方未组织所属人员体检，携带传染性疾病上岗操作 ，导致甲方人员发生传染病事件，乙方负责承担全部责任。</w:t>
      </w:r>
    </w:p>
    <w:p w14:paraId="416F6416">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4、乙方必须遵守国家和地方有关安全、环境和食品卫生的标准。严格执行机关厨房的相关安全管理制度、安全操作规程，并认真执行，同时对所属人员进行经常性的职业道德、食品安全卫生、安全规章等 安全知识培训。采取有效措施做好各类事故预防工作。</w:t>
      </w:r>
    </w:p>
    <w:p w14:paraId="258ADADE">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5、乙方购置主、副食等食用品及调料制品必须保证其产品质量，严禁购置腐烂、变质、过期的产品。特别肉类制品必须向甲方提交合格的卫生检疫证明，以备卫生检疫部门检查。对由于乙方提供不符合食品卫生标准的劣质食品，或出售任何变质和受污染的食品，造成甲方人员食物中毒的，乙方承担全部贵任，所产生的费用均由乙方承担。</w:t>
      </w:r>
    </w:p>
    <w:p w14:paraId="02F0A7E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6、乙方配送食品原材料，必须规范食品安全卫生管理，严格按照 甲方食品质量验收标准配置商品，不得掺杂使假。</w:t>
      </w:r>
    </w:p>
    <w:p w14:paraId="5178C05A">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7、乙方应认真落实防蚊、蝇、鼠害等安全措施，做好防疫工作，避免疾病，传染病的传播。</w:t>
      </w:r>
    </w:p>
    <w:p w14:paraId="6116E123">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8、乙方为甲方提供服务时，应识别活动场所可能发生的环境因素和危险源，按甲方的要求实施管理、检查和控制。</w:t>
      </w:r>
    </w:p>
    <w:p w14:paraId="44D8019F">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9、对乙方的储运、服务人员，乙方应进行必要的环境保护知识和 职业健康安全的培训，保证储运、服务人员熟知在工作中，如因工作失误将对环境、职业健康安全造成的不良影响，以及一旦污染事故发 生，如何采取应急措施，减少污染。</w:t>
      </w:r>
    </w:p>
    <w:p w14:paraId="2B47C8CB">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10、对于甲方的安全监督检查，乙方必须密切配合。</w:t>
      </w:r>
    </w:p>
    <w:p w14:paraId="01DC355D">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11、因乙方原因造成的失误、乙方作出违约行为或乙方工作未通 过甲方考核的，但并不影响项目的继续进行，每次扣除合同金额的1%, 并继续履行本合同。</w:t>
      </w:r>
    </w:p>
    <w:p w14:paraId="7233FC8A">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12、如因乙方原因，对甲方造成经济损失或不良社会影响，乙方 负责消除不良影响并自行承担由此发生的费用，甲方有权视情况终止合同，乙方有义务承担赔偿责任。</w:t>
      </w:r>
    </w:p>
    <w:p w14:paraId="6E80A771">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13、乙方所有食材在运输、装卸、搬运的过程中，造成甲方损失的，由乙方负责。</w:t>
      </w:r>
    </w:p>
    <w:p w14:paraId="0D974D3F">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14、乙方保证食材安全、按时运输到甲方指定交货地点，在交付 甲方之前发生的不可预见的风险由乙方承担。</w:t>
      </w:r>
    </w:p>
    <w:p w14:paraId="2BB14A65">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第十条甲乙双方的违约责任</w:t>
      </w:r>
    </w:p>
    <w:p w14:paraId="2C584BE3">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zh-CN" w:bidi="ar-SA"/>
        </w:rPr>
        <w:t>1、</w:t>
      </w:r>
      <w:r>
        <w:rPr>
          <w:rFonts w:hint="eastAsia" w:ascii="宋体" w:hAnsi="宋体" w:eastAsia="宋体" w:cs="宋体"/>
          <w:b w:val="0"/>
          <w:bCs w:val="0"/>
          <w:snapToGrid w:val="0"/>
          <w:color w:val="000000"/>
          <w:spacing w:val="11"/>
          <w:kern w:val="0"/>
          <w:sz w:val="28"/>
          <w:szCs w:val="28"/>
          <w:lang w:val="en-US" w:eastAsia="en-US" w:bidi="ar-SA"/>
        </w:rPr>
        <w:t>甲乙双方如出现违约的，违约方自违约之日起，每日按合同金  额的1‰向对方承担违约责任并且及时采取有效补救措施，违约金总额不超过本合同金额的5%,并继续履行本合同所规定的义务。违约方还应赔偿守约方因此遭受的损失(包括但不限于公证费、评估费、鉴定费</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拍卖费、保全费、诉讼费、送达费、执行费、保管费、过户费、律师代理费、差旅费等)</w:t>
      </w:r>
    </w:p>
    <w:p w14:paraId="4A308113">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2、乙方违约超过15日的，则甲方有权单方解除本合同。同时如因 乙方违反本合同项下约定导致合同解除的，乙方还应依甲方要求并按 合同金额的10%向甲方承担违约责任。</w:t>
      </w:r>
    </w:p>
    <w:p w14:paraId="62D07756">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3、乙方必须为其员工购买“社会保障性保险”,按时发放工资， 并承担一切用工风险，否则，甲方有权单方解除本合同，且甲方有权暂停向乙方支付任何款项，并有权从乙方的未付款中直接扣款。</w:t>
      </w:r>
    </w:p>
    <w:p w14:paraId="35493845">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第十一条 合同变更与终止</w:t>
      </w:r>
    </w:p>
    <w:p w14:paraId="5E8FD5D4">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1、合同期间任何一方不得随意终止合同。</w:t>
      </w:r>
    </w:p>
    <w:p w14:paraId="46441A15">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2、本合同规定的履行期限届满，合同自动终止。</w:t>
      </w:r>
    </w:p>
    <w:p w14:paraId="3DB79D7F">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3、因双方机构撤并、职能调整等原因，确需终止合同的，双方可 协商终止合同。</w:t>
      </w:r>
    </w:p>
    <w:p w14:paraId="3D8A8D5D">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4、乙方应自觉遵守甲方工作纪律、规章制度，服从甲方管理。因乙方原因给甲方造成严重后果，甲方可以单方面解除合同。</w:t>
      </w:r>
    </w:p>
    <w:p w14:paraId="0B3DE905">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第十二条 保密约定</w:t>
      </w:r>
    </w:p>
    <w:p w14:paraId="5155B023">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甲乙双方对本合同的内容，以及在本合同履行过程中获得的对方 的信息，均负有保密义务。除甲乙双方另有约定外</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保密义务是指在未经对方书面同意前</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一方不得将保密信息用于任何与履行本合同无关的情况；或以任何形式向任何第三方泄漏。双方均有义务尽其一切努力防止任何第三方窃取秘密信息</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由于任何一方违反以上保密义务 给对方造成损失</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违约方对受损失方负有停止侵害</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消除影响</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赔偿损失的责任。</w:t>
      </w:r>
    </w:p>
    <w:p w14:paraId="2A017667">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第十三条   不可抗力</w:t>
      </w:r>
    </w:p>
    <w:p w14:paraId="49FA261D">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甲乙双方任何一方由于不可抗力原因不能履行合同时</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应及时向对方通报不能履行或不能完全履行的理由</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以减轻可能给对方造成的损失，在取得有关机构证明后</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允许延期履行</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部分履行或不履行合同，并根据情况可部分或全部免予承担违约责任。</w:t>
      </w:r>
    </w:p>
    <w:p w14:paraId="092EC9C0">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第十四条   争议解决</w:t>
      </w:r>
    </w:p>
    <w:p w14:paraId="149DEF1B">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双方本着友好合作的态度，对合同履行过程中发生的纠纷应及时</w:t>
      </w:r>
    </w:p>
    <w:p w14:paraId="3F444AC2">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协商解决，协商不成</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向甲方所在地人民法院诉讼解决。</w:t>
      </w:r>
    </w:p>
    <w:p w14:paraId="5A80BFE2">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第十五条   监督和管理</w:t>
      </w:r>
    </w:p>
    <w:p w14:paraId="7CF4F8B4">
      <w:pPr>
        <w:ind w:firstLine="604"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1</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采购合同履行中</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甲方需追加与合同标的相同的货物</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工程或者服务的</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在不改变合同其他条款的前提下</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可以与乙方协商签订补充合同，但所有补充合同的采购金额不得超过原合同采购金额的百分之十</w:t>
      </w:r>
      <w:r>
        <w:rPr>
          <w:rFonts w:hint="eastAsia" w:ascii="宋体" w:hAnsi="宋体" w:eastAsia="宋体" w:cs="宋体"/>
          <w:b w:val="0"/>
          <w:bCs w:val="0"/>
          <w:snapToGrid w:val="0"/>
          <w:color w:val="000000"/>
          <w:spacing w:val="11"/>
          <w:kern w:val="0"/>
          <w:sz w:val="28"/>
          <w:szCs w:val="28"/>
          <w:lang w:val="en-US" w:eastAsia="zh-CN" w:bidi="ar-SA"/>
        </w:rPr>
        <w:t>。</w:t>
      </w:r>
    </w:p>
    <w:p w14:paraId="09182F14">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 xml:space="preserve">2 </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甲乙双方均应自觉配合有关监督管理部门对合同履行情况的监督检查</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如实反映情况</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提供有关资料；否则将对有关单位</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当事人按照有关规定予以处罚 。</w:t>
      </w:r>
    </w:p>
    <w:p w14:paraId="1FA85B16">
      <w:pPr>
        <w:ind w:firstLine="606" w:firstLineChars="200"/>
        <w:rPr>
          <w:rFonts w:hint="eastAsia" w:ascii="宋体" w:hAnsi="宋体" w:eastAsia="宋体" w:cs="宋体"/>
          <w:b/>
          <w:bCs/>
          <w:snapToGrid w:val="0"/>
          <w:color w:val="000000"/>
          <w:spacing w:val="11"/>
          <w:kern w:val="0"/>
          <w:sz w:val="28"/>
          <w:szCs w:val="28"/>
          <w:lang w:val="en-US" w:eastAsia="en-US" w:bidi="ar-SA"/>
        </w:rPr>
      </w:pPr>
      <w:r>
        <w:rPr>
          <w:rFonts w:hint="eastAsia" w:ascii="宋体" w:hAnsi="宋体" w:eastAsia="宋体" w:cs="宋体"/>
          <w:b/>
          <w:bCs/>
          <w:snapToGrid w:val="0"/>
          <w:color w:val="000000"/>
          <w:spacing w:val="11"/>
          <w:kern w:val="0"/>
          <w:sz w:val="28"/>
          <w:szCs w:val="28"/>
          <w:lang w:val="en-US" w:eastAsia="en-US" w:bidi="ar-SA"/>
        </w:rPr>
        <w:t>第十六条   信用融资 (如有)</w:t>
      </w:r>
    </w:p>
    <w:p w14:paraId="7C49F44E">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银行名称：</w:t>
      </w:r>
    </w:p>
    <w:p w14:paraId="2A345223">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收款账号：</w:t>
      </w:r>
    </w:p>
    <w:p w14:paraId="4C47B64D">
      <w:pPr>
        <w:ind w:firstLine="606" w:firstLineChars="2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bCs/>
          <w:snapToGrid w:val="0"/>
          <w:color w:val="000000"/>
          <w:spacing w:val="11"/>
          <w:kern w:val="0"/>
          <w:sz w:val="28"/>
          <w:szCs w:val="28"/>
          <w:lang w:val="en-US" w:eastAsia="zh-CN" w:bidi="ar-SA"/>
        </w:rPr>
        <w:t>第十七条</w:t>
      </w:r>
      <w:r>
        <w:rPr>
          <w:rFonts w:hint="eastAsia" w:ascii="宋体" w:hAnsi="宋体" w:eastAsia="宋体" w:cs="宋体"/>
          <w:b w:val="0"/>
          <w:bCs w:val="0"/>
          <w:snapToGrid w:val="0"/>
          <w:color w:val="000000"/>
          <w:spacing w:val="11"/>
          <w:kern w:val="0"/>
          <w:sz w:val="28"/>
          <w:szCs w:val="28"/>
          <w:lang w:val="en-US" w:eastAsia="zh-CN" w:bidi="ar-SA"/>
        </w:rPr>
        <w:t>：其他</w:t>
      </w:r>
    </w:p>
    <w:p w14:paraId="7AA44768">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zh-CN" w:bidi="ar-SA"/>
        </w:rPr>
        <w:t>1</w:t>
      </w:r>
      <w:r>
        <w:rPr>
          <w:rFonts w:hint="eastAsia" w:ascii="宋体" w:hAnsi="宋体" w:eastAsia="宋体" w:cs="宋体"/>
          <w:b w:val="0"/>
          <w:bCs w:val="0"/>
          <w:snapToGrid w:val="0"/>
          <w:color w:val="000000"/>
          <w:spacing w:val="11"/>
          <w:kern w:val="0"/>
          <w:sz w:val="28"/>
          <w:szCs w:val="28"/>
          <w:lang w:val="en-US" w:eastAsia="en-US" w:bidi="ar-SA"/>
        </w:rPr>
        <w:t>、本合同未尽事宜，双方共同协商达成补充协议</w:t>
      </w:r>
      <w:r>
        <w:rPr>
          <w:rFonts w:hint="eastAsia" w:ascii="宋体" w:hAnsi="宋体" w:eastAsia="宋体" w:cs="宋体"/>
          <w:b w:val="0"/>
          <w:bCs w:val="0"/>
          <w:snapToGrid w:val="0"/>
          <w:color w:val="000000"/>
          <w:spacing w:val="11"/>
          <w:kern w:val="0"/>
          <w:sz w:val="28"/>
          <w:szCs w:val="28"/>
          <w:lang w:val="en-US" w:eastAsia="zh-CN" w:bidi="ar-SA"/>
        </w:rPr>
        <w:t>，</w:t>
      </w:r>
      <w:r>
        <w:rPr>
          <w:rFonts w:hint="eastAsia" w:ascii="宋体" w:hAnsi="宋体" w:eastAsia="宋体" w:cs="宋体"/>
          <w:b w:val="0"/>
          <w:bCs w:val="0"/>
          <w:snapToGrid w:val="0"/>
          <w:color w:val="000000"/>
          <w:spacing w:val="11"/>
          <w:kern w:val="0"/>
          <w:sz w:val="28"/>
          <w:szCs w:val="28"/>
          <w:lang w:val="en-US" w:eastAsia="en-US" w:bidi="ar-SA"/>
        </w:rPr>
        <w:t>补充协议和附件与本合同具有同等法律效力 。</w:t>
      </w:r>
    </w:p>
    <w:p w14:paraId="064D5678">
      <w:pPr>
        <w:ind w:firstLine="604" w:firstLineChars="2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2、</w:t>
      </w:r>
      <w:r>
        <w:rPr>
          <w:rFonts w:hint="eastAsia" w:ascii="宋体" w:hAnsi="宋体" w:eastAsia="宋体" w:cs="宋体"/>
          <w:b w:val="0"/>
          <w:bCs w:val="0"/>
          <w:snapToGrid w:val="0"/>
          <w:color w:val="000000"/>
          <w:spacing w:val="11"/>
          <w:kern w:val="0"/>
          <w:sz w:val="28"/>
          <w:szCs w:val="28"/>
          <w:lang w:val="en-US" w:eastAsia="en-US" w:bidi="ar-SA"/>
        </w:rPr>
        <w:t>本合同一式</w:t>
      </w:r>
      <w:r>
        <w:rPr>
          <w:rFonts w:hint="eastAsia" w:ascii="宋体" w:hAnsi="宋体" w:eastAsia="宋体" w:cs="宋体"/>
          <w:b w:val="0"/>
          <w:bCs w:val="0"/>
          <w:snapToGrid w:val="0"/>
          <w:color w:val="000000"/>
          <w:spacing w:val="11"/>
          <w:kern w:val="0"/>
          <w:sz w:val="28"/>
          <w:szCs w:val="28"/>
          <w:lang w:val="en-US" w:eastAsia="zh-CN" w:bidi="ar-SA"/>
        </w:rPr>
        <w:t>三</w:t>
      </w:r>
      <w:r>
        <w:rPr>
          <w:rFonts w:hint="eastAsia" w:ascii="宋体" w:hAnsi="宋体" w:eastAsia="宋体" w:cs="宋体"/>
          <w:b w:val="0"/>
          <w:bCs w:val="0"/>
          <w:snapToGrid w:val="0"/>
          <w:color w:val="000000"/>
          <w:spacing w:val="11"/>
          <w:kern w:val="0"/>
          <w:sz w:val="28"/>
          <w:szCs w:val="28"/>
          <w:lang w:val="en-US" w:eastAsia="en-US" w:bidi="ar-SA"/>
        </w:rPr>
        <w:t>份，甲乙双方各执两份</w:t>
      </w:r>
      <w:r>
        <w:rPr>
          <w:rFonts w:hint="eastAsia" w:ascii="宋体" w:hAnsi="宋体" w:eastAsia="宋体" w:cs="宋体"/>
          <w:b w:val="0"/>
          <w:bCs w:val="0"/>
          <w:snapToGrid w:val="0"/>
          <w:color w:val="000000"/>
          <w:spacing w:val="11"/>
          <w:kern w:val="0"/>
          <w:sz w:val="28"/>
          <w:szCs w:val="28"/>
          <w:lang w:val="en-US" w:eastAsia="zh-CN" w:bidi="ar-SA"/>
        </w:rPr>
        <w:t>，政府采购监管部门一份。</w:t>
      </w:r>
    </w:p>
    <w:p w14:paraId="637562EE">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zh-CN" w:bidi="ar-SA"/>
        </w:rPr>
        <w:t>3、</w:t>
      </w:r>
      <w:r>
        <w:rPr>
          <w:rFonts w:hint="eastAsia" w:ascii="宋体" w:hAnsi="宋体" w:eastAsia="宋体" w:cs="宋体"/>
          <w:b w:val="0"/>
          <w:bCs w:val="0"/>
          <w:snapToGrid w:val="0"/>
          <w:color w:val="000000"/>
          <w:spacing w:val="11"/>
          <w:kern w:val="0"/>
          <w:sz w:val="28"/>
          <w:szCs w:val="28"/>
          <w:lang w:val="en-US" w:eastAsia="en-US" w:bidi="ar-SA"/>
        </w:rPr>
        <w:t>本合同自签订之日起生效。</w:t>
      </w:r>
    </w:p>
    <w:p w14:paraId="2011CF48">
      <w:pPr>
        <w:ind w:firstLine="604" w:firstLineChars="2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(以下无正文)</w:t>
      </w:r>
    </w:p>
    <w:p w14:paraId="581022C0">
      <w:pPr>
        <w:spacing w:before="104" w:line="157" w:lineRule="auto"/>
        <w:ind w:left="25"/>
        <w:rPr>
          <w:sz w:val="2"/>
          <w:szCs w:val="2"/>
        </w:rPr>
      </w:pPr>
    </w:p>
    <w:p w14:paraId="2B9FBD92">
      <w:pPr>
        <w:bidi w:val="0"/>
      </w:pPr>
    </w:p>
    <w:p w14:paraId="4B4772AC">
      <w:pPr>
        <w:bidi w:val="0"/>
      </w:pPr>
    </w:p>
    <w:p w14:paraId="5C3A86EE">
      <w:pPr>
        <w:ind w:firstLine="302" w:firstLineChars="10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采购人(甲方):(公章)             供应商(乙方):(公章)</w:t>
      </w:r>
    </w:p>
    <w:p w14:paraId="3C2240A6">
      <w:pPr>
        <w:ind w:firstLine="302" w:firstLineChars="100"/>
        <w:rPr>
          <w:rFonts w:hint="eastAsia"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zh-CN" w:bidi="ar-SA"/>
        </w:rPr>
        <w:t xml:space="preserve">             </w:t>
      </w:r>
    </w:p>
    <w:p w14:paraId="3A20ECE2">
      <w:pPr>
        <w:ind w:left="279" w:leftChars="133" w:firstLine="0" w:firstLineChars="0"/>
        <w:rPr>
          <w:rFonts w:hint="eastAsia" w:ascii="宋体" w:hAnsi="宋体" w:eastAsia="宋体" w:cs="宋体"/>
          <w:b w:val="0"/>
          <w:bCs w:val="0"/>
          <w:snapToGrid w:val="0"/>
          <w:color w:val="000000"/>
          <w:spacing w:val="11"/>
          <w:kern w:val="0"/>
          <w:sz w:val="28"/>
          <w:szCs w:val="28"/>
          <w:lang w:val="en-US" w:eastAsia="en-US" w:bidi="ar-SA"/>
        </w:rPr>
      </w:pPr>
      <w:r>
        <w:rPr>
          <w:rFonts w:hint="eastAsia" w:ascii="宋体" w:hAnsi="宋体" w:eastAsia="宋体" w:cs="宋体"/>
          <w:b w:val="0"/>
          <w:bCs w:val="0"/>
          <w:snapToGrid w:val="0"/>
          <w:color w:val="000000"/>
          <w:spacing w:val="11"/>
          <w:kern w:val="0"/>
          <w:sz w:val="28"/>
          <w:szCs w:val="28"/>
          <w:lang w:val="en-US" w:eastAsia="en-US" w:bidi="ar-SA"/>
        </w:rPr>
        <w:t>法定代表人</w:t>
      </w:r>
      <w:r>
        <w:rPr>
          <w:rFonts w:hint="eastAsia" w:ascii="宋体" w:hAnsi="宋体" w:eastAsia="宋体" w:cs="宋体"/>
          <w:b w:val="0"/>
          <w:bCs w:val="0"/>
          <w:snapToGrid w:val="0"/>
          <w:color w:val="000000"/>
          <w:spacing w:val="11"/>
          <w:kern w:val="0"/>
          <w:sz w:val="28"/>
          <w:szCs w:val="28"/>
          <w:lang w:val="en-US" w:eastAsia="zh-CN" w:bidi="ar-SA"/>
        </w:rPr>
        <w:t xml:space="preserve">                      </w:t>
      </w:r>
      <w:r>
        <w:rPr>
          <w:rFonts w:hint="eastAsia" w:ascii="宋体" w:hAnsi="宋体" w:eastAsia="宋体" w:cs="宋体"/>
          <w:b w:val="0"/>
          <w:bCs w:val="0"/>
          <w:snapToGrid w:val="0"/>
          <w:color w:val="000000"/>
          <w:spacing w:val="11"/>
          <w:kern w:val="0"/>
          <w:sz w:val="28"/>
          <w:szCs w:val="28"/>
          <w:lang w:val="en-US" w:eastAsia="en-US" w:bidi="ar-SA"/>
        </w:rPr>
        <w:t>法定代表人</w:t>
      </w:r>
      <w:r>
        <w:rPr>
          <w:rFonts w:hint="eastAsia" w:ascii="宋体" w:hAnsi="宋体" w:eastAsia="宋体" w:cs="宋体"/>
          <w:b w:val="0"/>
          <w:bCs w:val="0"/>
          <w:snapToGrid w:val="0"/>
          <w:color w:val="000000"/>
          <w:spacing w:val="11"/>
          <w:kern w:val="0"/>
          <w:sz w:val="28"/>
          <w:szCs w:val="28"/>
          <w:lang w:val="en-US" w:eastAsia="zh-CN" w:bidi="ar-SA"/>
        </w:rPr>
        <w:tab/>
      </w:r>
      <w:r>
        <w:rPr>
          <w:rFonts w:hint="eastAsia" w:ascii="宋体" w:hAnsi="宋体" w:eastAsia="宋体" w:cs="宋体"/>
          <w:b w:val="0"/>
          <w:bCs w:val="0"/>
          <w:snapToGrid w:val="0"/>
          <w:color w:val="000000"/>
          <w:spacing w:val="11"/>
          <w:kern w:val="0"/>
          <w:sz w:val="28"/>
          <w:szCs w:val="28"/>
          <w:lang w:val="en-US" w:eastAsia="zh-CN" w:bidi="ar-SA"/>
        </w:rPr>
        <w:t xml:space="preserve">                                               </w:t>
      </w:r>
      <w:r>
        <w:rPr>
          <w:rFonts w:hint="eastAsia" w:ascii="宋体" w:hAnsi="宋体" w:eastAsia="宋体" w:cs="宋体"/>
          <w:b w:val="0"/>
          <w:bCs w:val="0"/>
          <w:snapToGrid w:val="0"/>
          <w:color w:val="000000"/>
          <w:spacing w:val="11"/>
          <w:kern w:val="0"/>
          <w:sz w:val="28"/>
          <w:szCs w:val="28"/>
          <w:lang w:val="en-US" w:eastAsia="en-US" w:bidi="ar-SA"/>
        </w:rPr>
        <w:t>或委托代理人：(签字盖章)</w:t>
      </w:r>
      <w:r>
        <w:rPr>
          <w:rFonts w:hint="eastAsia" w:ascii="宋体" w:hAnsi="宋体" w:eastAsia="宋体" w:cs="宋体"/>
          <w:b w:val="0"/>
          <w:bCs w:val="0"/>
          <w:snapToGrid w:val="0"/>
          <w:color w:val="000000"/>
          <w:spacing w:val="11"/>
          <w:kern w:val="0"/>
          <w:sz w:val="28"/>
          <w:szCs w:val="28"/>
          <w:lang w:val="en-US" w:eastAsia="zh-CN" w:bidi="ar-SA"/>
        </w:rPr>
        <w:t xml:space="preserve">         </w:t>
      </w:r>
      <w:r>
        <w:rPr>
          <w:rFonts w:hint="eastAsia" w:ascii="宋体" w:hAnsi="宋体" w:eastAsia="宋体" w:cs="宋体"/>
          <w:b w:val="0"/>
          <w:bCs w:val="0"/>
          <w:snapToGrid w:val="0"/>
          <w:color w:val="000000"/>
          <w:spacing w:val="11"/>
          <w:kern w:val="0"/>
          <w:sz w:val="28"/>
          <w:szCs w:val="28"/>
          <w:lang w:val="en-US" w:eastAsia="en-US" w:bidi="ar-SA"/>
        </w:rPr>
        <w:t>或委托代理人：(签字盖章)</w:t>
      </w:r>
    </w:p>
    <w:p w14:paraId="3E9358CF">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开户银行：</w:t>
      </w:r>
      <w:r>
        <w:rPr>
          <w:rFonts w:hint="eastAsia" w:ascii="宋体" w:hAnsi="宋体" w:eastAsia="宋体" w:cs="宋体"/>
          <w:b w:val="0"/>
          <w:bCs w:val="0"/>
          <w:snapToGrid w:val="0"/>
          <w:color w:val="000000"/>
          <w:spacing w:val="11"/>
          <w:kern w:val="0"/>
          <w:sz w:val="28"/>
          <w:szCs w:val="28"/>
          <w:lang w:val="en-US" w:eastAsia="zh-CN" w:bidi="ar-SA"/>
        </w:rPr>
        <w:t xml:space="preserve">                     开户银行：</w:t>
      </w:r>
    </w:p>
    <w:p w14:paraId="7795130C">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帐    号：</w:t>
      </w:r>
      <w:r>
        <w:rPr>
          <w:rFonts w:hint="eastAsia" w:ascii="宋体" w:hAnsi="宋体" w:eastAsia="宋体" w:cs="宋体"/>
          <w:b w:val="0"/>
          <w:bCs w:val="0"/>
          <w:snapToGrid w:val="0"/>
          <w:color w:val="000000"/>
          <w:spacing w:val="11"/>
          <w:kern w:val="0"/>
          <w:sz w:val="28"/>
          <w:szCs w:val="28"/>
          <w:lang w:val="en-US" w:eastAsia="zh-CN" w:bidi="ar-SA"/>
        </w:rPr>
        <w:t xml:space="preserve">                     帐   号：</w:t>
      </w:r>
    </w:p>
    <w:p w14:paraId="5D2EE96A">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电    话：</w:t>
      </w:r>
      <w:r>
        <w:rPr>
          <w:rFonts w:hint="eastAsia" w:ascii="宋体" w:hAnsi="宋体" w:eastAsia="宋体" w:cs="宋体"/>
          <w:b w:val="0"/>
          <w:bCs w:val="0"/>
          <w:snapToGrid w:val="0"/>
          <w:color w:val="000000"/>
          <w:spacing w:val="11"/>
          <w:kern w:val="0"/>
          <w:sz w:val="28"/>
          <w:szCs w:val="28"/>
          <w:lang w:val="en-US" w:eastAsia="zh-CN" w:bidi="ar-SA"/>
        </w:rPr>
        <w:t xml:space="preserve">                     电    话：</w:t>
      </w:r>
    </w:p>
    <w:p w14:paraId="655A3550">
      <w:pPr>
        <w:ind w:firstLine="302" w:firstLineChars="100"/>
        <w:rPr>
          <w:rFonts w:hint="default" w:ascii="宋体" w:hAnsi="宋体" w:eastAsia="宋体" w:cs="宋体"/>
          <w:b w:val="0"/>
          <w:bCs w:val="0"/>
          <w:snapToGrid w:val="0"/>
          <w:color w:val="000000"/>
          <w:spacing w:val="11"/>
          <w:kern w:val="0"/>
          <w:sz w:val="28"/>
          <w:szCs w:val="28"/>
          <w:lang w:val="en-US" w:eastAsia="zh-CN" w:bidi="ar-SA"/>
        </w:rPr>
      </w:pPr>
      <w:r>
        <w:rPr>
          <w:rFonts w:hint="eastAsia" w:ascii="宋体" w:hAnsi="宋体" w:eastAsia="宋体" w:cs="宋体"/>
          <w:b w:val="0"/>
          <w:bCs w:val="0"/>
          <w:snapToGrid w:val="0"/>
          <w:color w:val="000000"/>
          <w:spacing w:val="11"/>
          <w:kern w:val="0"/>
          <w:sz w:val="28"/>
          <w:szCs w:val="28"/>
          <w:lang w:val="en-US" w:eastAsia="en-US" w:bidi="ar-SA"/>
        </w:rPr>
        <w:t>地    址：</w:t>
      </w:r>
      <w:r>
        <w:rPr>
          <w:rFonts w:hint="eastAsia" w:ascii="宋体" w:hAnsi="宋体" w:eastAsia="宋体" w:cs="宋体"/>
          <w:b w:val="0"/>
          <w:bCs w:val="0"/>
          <w:snapToGrid w:val="0"/>
          <w:color w:val="000000"/>
          <w:spacing w:val="11"/>
          <w:kern w:val="0"/>
          <w:sz w:val="28"/>
          <w:szCs w:val="28"/>
          <w:lang w:val="en-US" w:eastAsia="zh-CN" w:bidi="ar-SA"/>
        </w:rPr>
        <w:t xml:space="preserve">                     地    址：</w:t>
      </w:r>
    </w:p>
    <w:p w14:paraId="0EF5FEE5">
      <w:pPr>
        <w:ind w:firstLine="302" w:firstLineChars="100"/>
      </w:pPr>
      <w:r>
        <w:rPr>
          <w:rFonts w:hint="eastAsia" w:ascii="宋体" w:hAnsi="宋体" w:eastAsia="宋体" w:cs="宋体"/>
          <w:b w:val="0"/>
          <w:bCs w:val="0"/>
          <w:snapToGrid w:val="0"/>
          <w:color w:val="000000"/>
          <w:spacing w:val="11"/>
          <w:kern w:val="0"/>
          <w:sz w:val="28"/>
          <w:szCs w:val="28"/>
          <w:lang w:val="en-US" w:eastAsia="zh-CN" w:bidi="ar-SA"/>
        </w:rPr>
        <w:t>时    间： 年  月  日          时    间：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FBE52">
    <w:pPr>
      <w:spacing w:line="177" w:lineRule="auto"/>
      <w:ind w:left="3780"/>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jYWQ2NWY2ZmI1ZTlkMGRhYmYzNjI4ZTJkZjUwYWQifQ=="/>
  </w:docVars>
  <w:rsids>
    <w:rsidRoot w:val="56F20AF2"/>
    <w:rsid w:val="1283439D"/>
    <w:rsid w:val="224F0536"/>
    <w:rsid w:val="31F77A2F"/>
    <w:rsid w:val="372F4799"/>
    <w:rsid w:val="446D73E9"/>
    <w:rsid w:val="56F20AF2"/>
    <w:rsid w:val="698E0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Table Text"/>
    <w:basedOn w:val="1"/>
    <w:autoRedefine/>
    <w:semiHidden/>
    <w:qFormat/>
    <w:uiPriority w:val="0"/>
    <w:rPr>
      <w:rFonts w:ascii="微软雅黑" w:hAnsi="微软雅黑" w:eastAsia="微软雅黑" w:cs="微软雅黑"/>
      <w:sz w:val="22"/>
      <w:szCs w:val="22"/>
      <w:lang w:val="en-US" w:eastAsia="en-US" w:bidi="ar-SA"/>
    </w:rPr>
  </w:style>
  <w:style w:type="table" w:customStyle="1" w:styleId="6">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374</Words>
  <Characters>378</Characters>
  <Lines>0</Lines>
  <Paragraphs>0</Paragraphs>
  <TotalTime>5</TotalTime>
  <ScaleCrop>false</ScaleCrop>
  <LinksUpToDate>false</LinksUpToDate>
  <CharactersWithSpaces>895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2026-01-12T07:20:00Z</dcterms:created>
  <dc:creator>叹服心灵</dc:creator>
  <cp:lastModifiedBy>微信用户</cp:lastModifiedBy>
  <dcterms:modified xsi:type="dcterms:W3CDTF">2026-01-15T06:05:44Z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AB5347C4101D4669A7D439852BF3C7FE_13</vt:lpwstr>
  </property>
  <property fmtid="{D5CDD505-2E9C-101B-9397-08002B2CF9AE}" pid="4" name="KSOTemplateDocerSaveRecord">
    <vt:lpwstr>eyJoZGlkIjoiYTAwODQ3ZTRmODJhMzU1YmY0ZjIyYjU3MDNmNTJkN2IiLCJ1c2VySWQiOiIxMjc4NzU4NzEwIn0=</vt:lpwstr>
  </property>
</Properties>
</file>