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版本号：SXTW-2026-020520260227001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2026年户外媒体宣传项目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SXTW-2026-0205</w:t>
      </w:r>
      <w:r>
        <w:br/>
      </w:r>
      <w:r>
        <w:br/>
      </w:r>
      <w:r>
        <w:br/>
      </w:r>
    </w:p>
    <w:p>
      <w:pPr>
        <w:pStyle w:val="null3"/>
        <w:jc w:val="center"/>
        <w:outlineLvl w:val="5"/>
      </w:pPr>
      <w:r>
        <w:rPr>
          <w:rFonts w:ascii="仿宋_GB2312" w:hAnsi="仿宋_GB2312" w:cs="仿宋_GB2312" w:eastAsia="仿宋_GB2312"/>
          <w:sz w:val="15"/>
          <w:b/>
        </w:rPr>
        <w:t>陕西省第十八届运动会筹委会办公室</w:t>
      </w:r>
    </w:p>
    <w:p>
      <w:pPr>
        <w:pStyle w:val="null3"/>
        <w:jc w:val="center"/>
        <w:outlineLvl w:val="5"/>
      </w:pPr>
      <w:r>
        <w:rPr>
          <w:rFonts w:ascii="仿宋_GB2312" w:hAnsi="仿宋_GB2312" w:cs="仿宋_GB2312" w:eastAsia="仿宋_GB2312"/>
          <w:sz w:val="15"/>
          <w:b/>
        </w:rPr>
        <w:t>陕西侗伟项目管理有限公司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2026年02月27日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陕西侗伟项目管理有限公司</w:t>
      </w:r>
      <w:r>
        <w:rPr>
          <w:rFonts w:ascii="仿宋_GB2312" w:hAnsi="仿宋_GB2312" w:cs="仿宋_GB2312" w:eastAsia="仿宋_GB2312"/>
        </w:rPr>
        <w:t>（以下简称“代理机构”）受</w:t>
      </w:r>
      <w:r>
        <w:rPr>
          <w:rFonts w:ascii="仿宋_GB2312" w:hAnsi="仿宋_GB2312" w:cs="仿宋_GB2312" w:eastAsia="仿宋_GB2312"/>
        </w:rPr>
        <w:t>陕西省第十八届运动会筹委会办公室</w:t>
      </w:r>
      <w:r>
        <w:rPr>
          <w:rFonts w:ascii="仿宋_GB2312" w:hAnsi="仿宋_GB2312" w:cs="仿宋_GB2312" w:eastAsia="仿宋_GB2312"/>
        </w:rPr>
        <w:t>委托，拟对</w:t>
      </w:r>
      <w:r>
        <w:rPr>
          <w:rFonts w:ascii="仿宋_GB2312" w:hAnsi="仿宋_GB2312" w:cs="仿宋_GB2312" w:eastAsia="仿宋_GB2312"/>
        </w:rPr>
        <w:t>2026年户外媒体宣传项目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SXTW-2026-0205</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2026年户外媒体宣传项目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2026年户外媒体宣传项目，具体内容详见单一来源采购文件要求。</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采购包1（2026年户外媒体宣传项目）：属于专门面向中小企业采购。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证明文件：营业执照等证明文件合法有效，具有独立承担民事责任的能力且具备向采购人提供相关服务的企业法人、其他组织或自然人；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2、法定代表人授权书/法定代表人身份证明书：法定代表人直接参加投标的，须提供法定代表人身份证明及其身份证扫描件；法定代表人授权他人参加投标的，须提供法定代表人身份证明及法定代表人授权委托书</w:t>
      </w:r>
    </w:p>
    <w:p>
      <w:pPr>
        <w:pStyle w:val="null3"/>
      </w:pPr>
      <w:r>
        <w:rPr>
          <w:rFonts w:ascii="仿宋_GB2312" w:hAnsi="仿宋_GB2312" w:cs="仿宋_GB2312" w:eastAsia="仿宋_GB2312"/>
        </w:rPr>
        <w:t>3、财务状况报告：提供具有财务审计资质单位出具的经审计的2024年度财务审计报告（若成立时间至响应文件递交截止时间前不足一年的可提供成立后任意时段的资产负债表）或响应文件递交截止时间前六个月内其基本账户银行出具的资信证明（附基本账户证明）或政府采购信用担保机构出具的投标担保函；</w:t>
      </w:r>
    </w:p>
    <w:p>
      <w:pPr>
        <w:pStyle w:val="null3"/>
      </w:pPr>
      <w:r>
        <w:rPr>
          <w:rFonts w:ascii="仿宋_GB2312" w:hAnsi="仿宋_GB2312" w:cs="仿宋_GB2312" w:eastAsia="仿宋_GB2312"/>
        </w:rPr>
        <w:t>4、税收缴纳证明：提供递交响应文件截止之日前一年内任意一个月的依法缴纳税收的相关凭据(时间以税款所属日期为准、增值税、企业所得税至少提供一种)，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5、社会保障资金缴纳证明：提供递交响应文件截止之日前一年内任意一个月的社会保障资金缴存单据或社保机构开具的社会保险参保缴费情况证明；依法不需要缴纳社会保障资金的供应商应提供相关证明文件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6、具有履行合同的声明：提供具有履行本合同所必需的设备和专业技术能力的说明及承诺；</w:t>
      </w:r>
    </w:p>
    <w:p>
      <w:pPr>
        <w:pStyle w:val="null3"/>
      </w:pPr>
      <w:r>
        <w:rPr>
          <w:rFonts w:ascii="仿宋_GB2312" w:hAnsi="仿宋_GB2312" w:cs="仿宋_GB2312" w:eastAsia="仿宋_GB2312"/>
        </w:rPr>
        <w:t>7、无重大违法记录书面声明：参加政府采购活动前三年内在经营活动中无重大违法记录的书面声明</w:t>
      </w:r>
    </w:p>
    <w:p>
      <w:pPr>
        <w:pStyle w:val="null3"/>
      </w:pPr>
      <w:r>
        <w:rPr>
          <w:rFonts w:ascii="仿宋_GB2312" w:hAnsi="仿宋_GB2312" w:cs="仿宋_GB2312" w:eastAsia="仿宋_GB2312"/>
        </w:rPr>
        <w:t>8、信誉信息：供应商不得为“信用中国”网站（www.creditchina.gov.cn）中列入重大税收违法失信主体的供应商；不得为“中国执行信息公开网”（https：//zxgk.court.gov.cn）中列入失信被执行人名单的供应商；不得为“中国政府采购网”（www.ccgp.gov.cn）政府采购严重违法失信行为记录名单中被财政部门禁止参加政府采购活动的供应商；以供应商信用记录书面声明函为准；</w:t>
      </w:r>
    </w:p>
    <w:p>
      <w:pPr>
        <w:pStyle w:val="null3"/>
      </w:pPr>
      <w:r>
        <w:rPr>
          <w:rFonts w:ascii="仿宋_GB2312" w:hAnsi="仿宋_GB2312" w:cs="仿宋_GB2312" w:eastAsia="仿宋_GB2312"/>
        </w:rPr>
        <w:t>9、无控股、管理承诺：单位负责人为同一人或者存在直接控股、管理关系的不同供应商，不得同时参加同一合同项下的政府采购活动；</w:t>
      </w:r>
    </w:p>
    <w:p>
      <w:pPr>
        <w:pStyle w:val="null3"/>
      </w:pPr>
      <w:r>
        <w:rPr>
          <w:rFonts w:ascii="仿宋_GB2312" w:hAnsi="仿宋_GB2312" w:cs="仿宋_GB2312" w:eastAsia="仿宋_GB2312"/>
        </w:rPr>
        <w:t>10、是否接受联合体投标：本项目不接受联合体投标</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陕西省第十八届运动会筹委会办公室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陕西省渭南市渭南市本级陕西省渭南市临渭区渭南市体育中心体育场北侧一楼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13909132202</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陕西侗伟项目管理有限公司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陕西省渭南市临渭区胜利大街与前进路十字西200米路南雅馨花园C座C08</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高宇姣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13310933306</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采购包1：570,000.00元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采购包1：570,000.00元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服务费由中标单位支付，按照《国家发展改革委关于进一步放开建设项目专业服务价格的通知》(发改价格(2015)299号)的要求，參照《国家计委关于印发《招标代理服务收费管理暂行办法)的通知》(计价格(2002)1980号)文件规定的计费标准计取。2.由中标单位在领取中标通知书前，须向采购代理机构一次性支付招标代理服务费。3.采购代理服务费账户户名:陕西侗伟项目管理有限公司账号:610501641400 0000 0348开户银行:中国建设银行股份有限公司渭南胜利大街支行</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陕西省第十八届运动会筹委会办公室</w:t>
      </w:r>
      <w:r>
        <w:rPr>
          <w:rFonts w:ascii="仿宋_GB2312" w:hAnsi="仿宋_GB2312" w:cs="仿宋_GB2312" w:eastAsia="仿宋_GB2312"/>
        </w:rPr>
        <w:t>和</w:t>
      </w:r>
      <w:r>
        <w:rPr>
          <w:rFonts w:ascii="仿宋_GB2312" w:hAnsi="仿宋_GB2312" w:cs="仿宋_GB2312" w:eastAsia="仿宋_GB2312"/>
        </w:rPr>
        <w:t>陕西侗伟项目管理有限公司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陕西侗伟项目管理有限公司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陕西省第十八届运动会筹委会办公室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陕西侗伟项目管理有限公司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符合国家及行业质量验收合格标准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陕西侗伟项目管理有限公司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陕西侗伟项目管理有限公司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陕西侗伟项目管理有限公司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2026年户外媒体宣传项目，通过7个月的多场景广告位持续投放，构建全域覆盖、精准触达的宣传矩阵，高效扩大陕西省第十八届运动会的社会影响力和全民知晓率。以渭南西高速收费站顶棚广告位为门户，抢占外来客流第一视觉触点;实现对外展示的宣传效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570,000.00</w:t>
      </w:r>
    </w:p>
    <w:p>
      <w:pPr>
        <w:pStyle w:val="null3"/>
      </w:pPr>
      <w:r>
        <w:rPr>
          <w:rFonts w:ascii="仿宋_GB2312" w:hAnsi="仿宋_GB2312" w:cs="仿宋_GB2312" w:eastAsia="仿宋_GB2312"/>
        </w:rPr>
        <w:t>采购包最高限价（元）: 570,000.00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2026年户外媒体宣传项目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570,000.00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标的名称：2026年户外媒体宣传项目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1、服务期限：合同签订之日起7个自然月。</w:t>
            </w:r>
          </w:p>
          <w:p>
            <w:pPr>
              <w:pStyle w:val="null3"/>
            </w:pPr>
            <w:r>
              <w:rPr>
                <w:rFonts w:ascii="仿宋_GB2312" w:hAnsi="仿宋_GB2312" w:cs="仿宋_GB2312" w:eastAsia="仿宋_GB2312"/>
                <w:sz w:val="21"/>
              </w:rPr>
              <w:t>2、服务地点：渭南西高速收费站顶棚</w:t>
            </w:r>
          </w:p>
          <w:p>
            <w:pPr>
              <w:pStyle w:val="null3"/>
            </w:pPr>
            <w:r>
              <w:rPr>
                <w:rFonts w:ascii="仿宋_GB2312" w:hAnsi="仿宋_GB2312" w:cs="仿宋_GB2312" w:eastAsia="仿宋_GB2312"/>
                <w:sz w:val="21"/>
              </w:rPr>
              <w:t>3、服务指标的具体要求:服务期间更换画布两次。</w:t>
            </w:r>
          </w:p>
          <w:p>
            <w:pPr>
              <w:pStyle w:val="null3"/>
            </w:pPr>
            <w:r>
              <w:rPr>
                <w:rFonts w:ascii="仿宋_GB2312" w:hAnsi="仿宋_GB2312" w:cs="仿宋_GB2312" w:eastAsia="仿宋_GB2312"/>
                <w:sz w:val="21"/>
              </w:rPr>
              <w:t>4、服务质量、标准、期限、效率等要求：</w:t>
            </w:r>
          </w:p>
          <w:p>
            <w:pPr>
              <w:pStyle w:val="null3"/>
            </w:pPr>
            <w:r>
              <w:rPr>
                <w:rFonts w:ascii="仿宋_GB2312" w:hAnsi="仿宋_GB2312" w:cs="仿宋_GB2312" w:eastAsia="仿宋_GB2312"/>
                <w:sz w:val="21"/>
              </w:rPr>
              <w:t>需执行的国家相关标准、行业标准、地方标准或者其他标准、规范，则统一执行最新标准、规范，符合项目实际采购需要，符合项目实施要求。</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符合采购要求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合同签订之日起7个自然月。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渭南西高速收费站顶棚</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画面上刊验收合格后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4个月后 </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合同期满后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户外媒体宣传项目全部内容制作完成并交付后3个工作日内，由采购单位对项目交付成果组织验收。成交单位应负责在项目验收前将项目过程中产生的全部各种相关各阶段文档整理好装订提交，并提交相关文档。</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以采购和同约定为准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落实政府采购政策：（1）《关于在政府采购活动中查询及使用信用记录有关问题的通知》（财库〔2016〕125号）。（2）《政府采购促进中小企业发展管理办法》（财库〔2020〕46号）、《关于进一步加大政府采购支持中小企业力度的通知》（财库〔2022〕19号）、《陕西省财政厅关于进一步加大政府采购支持中小企业力度的通知》（陕财办采〔2022〕5号）、《关于政府采购支持监狱企业发展有关问题的通知》（财库〔2014〕68号）以及《关于促进残疾人就业政府采购政策的通知》（财库〔2017〕141号）。（3）财政部、国家发展改革委《关于印发〈节能产品政府采购实施意见〉的通知》（财库〔2004〕185号）、财政部、国家环保总局联合印发《关于环境标志产品政府采购实施的意见》（财库〔2006〕90号）、国务院办公厅《关于建立政府强制采购节能产品制度的通知》（国办发〔2007〕51号）。财政部、国家发改委、生态环境部、市场监管总局联合印发《关于调整优化节能产品、环境标志产品政府采购执行机制的通知》（财库〔2019〕9号）。（4）《财政部 农业农村部 国家乡村振兴局关于运用政府采购政策支持乡村产业振兴的通知》（财库〔2021〕19号）、《财政部农业农村部国家乡村振兴局 中华全国供销合作总社关于印发&lt;关于深入开展政府采购脱贫地区农副产品工作推进乡村产业振兴的实施意见&gt;的通知》（财库〔2021〕20号）。（5）《陕西省财政厅关于加快推进我省中小企业政府采购信用融资工作的通知》（陕财办采〔2020〕15号）、陕西省财政厅关于印发《陕西省中小企业政府采购信用融资办法》（陕财办采〔2018〕23号）。（6）其他需要落实的政府采购政策（7）《关于推动解决政府采购异常低价问题的通知》财库(2026)2号（如有最新颁布的政府采购政策，按最新的文件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资格证明文件.pdf</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营业执照等证明文件合法有效，具有独立承担民事责任的能力且具备向采购人提供相关服务的企业法人、其他组织或自然人；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法定代表人授权书/法定代表人身份证明书</w:t>
            </w:r>
          </w:p>
        </w:tc>
        <w:tc>
          <w:tcPr>
            <w:tcW w:type="dxa" w:w="3322"/>
          </w:tcPr>
          <w:p>
            <w:pPr>
              <w:pStyle w:val="null3"/>
            </w:pPr>
            <w:r>
              <w:rPr>
                <w:rFonts w:ascii="仿宋_GB2312" w:hAnsi="仿宋_GB2312" w:cs="仿宋_GB2312" w:eastAsia="仿宋_GB2312"/>
              </w:rPr>
              <w:t>法定代表人直接参加投标的，须提供法定代表人身份证明及其身份证扫描件；法定代表人授权他人参加投标的，须提供法定代表人身份证明及法定代表人授权委托书</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经审计的2024年度财务审计报告（若成立时间至响应文件递交截止时间前不足一年的可提供成立后任意时段的资产负债表）或响应文件递交截止时间前六个月内其基本账户银行出具的资信证明（附基本账户证明）或政府采购信用担保机构出具的投标担保函；</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时间以税款所属日期为准、增值税、企业所得税至少提供一种)，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参加政府采购活动前三年内在经营活动中无重大违法记录的书面声明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信誉信息</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s：//zxgk.court.gov.cn）中列入失信被执行人名单的供应商；不得为“中国政府采购网”（www.ccgp.gov.cn）政府采购严重违法失信行为记录名单中被财政部门禁止参加政府采购活动的供应商；以供应商信用记录书面声明函为准；</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无控股、管理承诺</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单位负责人为同一人或者存在直接控股、管理关系的不同供应商，不得同时参加同一合同项下的政府采购活动；</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是否接受联合体投标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资格证明文件.pdf</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商务应答表.pdf 服务方案 响应函 供应商认为需要提供的其他资料.pdf 服务内容及服务要求应答表.pdf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政府采购供应商拒绝政府采购领域商业贿赂承诺书.pdf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投标人的响应报价是否超过采购预算或招标文件中列明的单项最高限价。</w:t>
            </w:r>
          </w:p>
        </w:tc>
        <w:tc>
          <w:tcPr>
            <w:tcW w:type="dxa" w:w="3322"/>
          </w:tcPr>
          <w:p>
            <w:pPr>
              <w:pStyle w:val="null3"/>
            </w:pPr>
            <w:r>
              <w:rPr>
                <w:rFonts w:ascii="仿宋_GB2312" w:hAnsi="仿宋_GB2312" w:cs="仿宋_GB2312" w:eastAsia="仿宋_GB2312"/>
              </w:rPr>
              <w:t>投标人的响应报价是否超过采购预算或招标文件中列明的单项最高限价。</w:t>
            </w:r>
          </w:p>
        </w:tc>
        <w:tc>
          <w:tcPr>
            <w:tcW w:type="dxa" w:w="1661"/>
          </w:tcPr>
          <w:p>
            <w:pPr>
              <w:pStyle w:val="null3"/>
            </w:pPr>
            <w:r>
              <w:rPr>
                <w:rFonts w:ascii="仿宋_GB2312" w:hAnsi="仿宋_GB2312" w:cs="仿宋_GB2312" w:eastAsia="仿宋_GB2312"/>
              </w:rPr>
              <w:t>标的清单 报价表 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详见附件：供应商认为需要提供的其他资料.pdf</w:t>
      </w:r>
    </w:p>
    <w:p>
      <w:pPr>
        <w:pStyle w:val="null3"/>
        <w:ind w:firstLine="960"/>
      </w:pPr>
      <w:r>
        <w:rPr>
          <w:rFonts w:ascii="仿宋_GB2312" w:hAnsi="仿宋_GB2312" w:cs="仿宋_GB2312" w:eastAsia="仿宋_GB2312"/>
        </w:rPr>
        <w:t>详见附件：政府采购供应商拒绝政府采购领域商业贿赂承诺书.pdf</w:t>
      </w:r>
    </w:p>
    <w:p>
      <w:pPr>
        <w:pStyle w:val="null3"/>
        <w:ind w:firstLine="960"/>
      </w:pPr>
      <w:r>
        <w:rPr>
          <w:rFonts w:ascii="仿宋_GB2312" w:hAnsi="仿宋_GB2312" w:cs="仿宋_GB2312" w:eastAsia="仿宋_GB2312"/>
        </w:rPr>
        <w:t>详见附件：服务内容及服务要求应答表.pdf</w:t>
      </w:r>
    </w:p>
    <w:p>
      <w:pPr>
        <w:pStyle w:val="null3"/>
        <w:ind w:firstLine="960"/>
      </w:pPr>
      <w:r>
        <w:rPr>
          <w:rFonts w:ascii="仿宋_GB2312" w:hAnsi="仿宋_GB2312" w:cs="仿宋_GB2312" w:eastAsia="仿宋_GB2312"/>
        </w:rPr>
        <w:t>详见附件：商务应答表.pdf</w:t>
      </w:r>
    </w:p>
    <w:p>
      <w:pPr>
        <w:pStyle w:val="null3"/>
        <w:ind w:firstLine="960"/>
      </w:pPr>
      <w:r>
        <w:rPr>
          <w:rFonts w:ascii="仿宋_GB2312" w:hAnsi="仿宋_GB2312" w:cs="仿宋_GB2312" w:eastAsia="仿宋_GB2312"/>
        </w:rPr>
        <w:t>详见附件：资格证明文件.pdf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