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版本号：ZLGL-2025-ZC02320260228001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《华山风景名胜区总体规划（2025-2035）》修编项目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ZLGL-2025-ZC023</w:t>
      </w:r>
      <w:r>
        <w:br/>
      </w:r>
      <w:r>
        <w:br/>
      </w:r>
      <w:r>
        <w:br/>
      </w:r>
    </w:p>
    <w:p>
      <w:pPr>
        <w:pStyle w:val="null3"/>
        <w:jc w:val="center"/>
        <w:outlineLvl w:val="2"/>
      </w:pPr>
      <w:r>
        <w:rPr>
          <w:rFonts w:ascii="仿宋_GB2312" w:hAnsi="仿宋_GB2312" w:cs="仿宋_GB2312" w:eastAsia="仿宋_GB2312"/>
          <w:sz w:val="28"/>
          <w:b/>
        </w:rPr>
        <w:t>华山风景名胜区管理委员会</w:t>
      </w:r>
    </w:p>
    <w:p>
      <w:pPr>
        <w:pStyle w:val="null3"/>
        <w:jc w:val="center"/>
        <w:outlineLvl w:val="2"/>
      </w:pPr>
      <w:r>
        <w:rPr>
          <w:rFonts w:ascii="仿宋_GB2312" w:hAnsi="仿宋_GB2312" w:cs="仿宋_GB2312" w:eastAsia="仿宋_GB2312"/>
          <w:sz w:val="28"/>
          <w:b/>
        </w:rPr>
        <w:t>陕西正林项目管理有限公司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陕西正林项目管理有限公司</w:t>
      </w:r>
      <w:r>
        <w:rPr>
          <w:rFonts w:ascii="仿宋_GB2312" w:hAnsi="仿宋_GB2312" w:cs="仿宋_GB2312" w:eastAsia="仿宋_GB2312"/>
        </w:rPr>
        <w:t>（以下简称“代理机构”）受</w:t>
      </w:r>
      <w:r>
        <w:rPr>
          <w:rFonts w:ascii="仿宋_GB2312" w:hAnsi="仿宋_GB2312" w:cs="仿宋_GB2312" w:eastAsia="仿宋_GB2312"/>
        </w:rPr>
        <w:t>华山风景名胜区管理委员会</w:t>
      </w:r>
      <w:r>
        <w:rPr>
          <w:rFonts w:ascii="仿宋_GB2312" w:hAnsi="仿宋_GB2312" w:cs="仿宋_GB2312" w:eastAsia="仿宋_GB2312"/>
        </w:rPr>
        <w:t>委托，拟对</w:t>
      </w:r>
      <w:r>
        <w:rPr>
          <w:rFonts w:ascii="仿宋_GB2312" w:hAnsi="仿宋_GB2312" w:cs="仿宋_GB2312" w:eastAsia="仿宋_GB2312"/>
        </w:rPr>
        <w:t>《华山风景名胜区总体规划（2025-2035）》修编项目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ZLGL-2025-ZC023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《华山风景名胜区总体规划（2025-2035）》修编项目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华山是我国著名的五岳之一，古称西岳，位于陕西省华阴市境内，雄踞关中平原东部，南依秦岭，北瞰黄渭，是首批国家级重点风景名胜区、国家5A级旅游景区，国家地理南北分水岭秦岭的重要组成部分。华山以雄奇峻秀的自然景观和丰富的人文资源名扬四海，素有“奇险天下第一山”之称。 为适应保护、利用、管理和发展的需要，切实保护风景名胜资源，全面发挥风景名胜区的功能和效用，依据国务院《风景名胜区条例》《风景名胜区总体规划标准》（GB/T52098-2018）等法规规定，经相关部门批准开展《华山风景名胜区总体规划（2025-2035）》修编工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采购包1（《华山风景名胜区总体规划（2025-2035）》修编项目）：属于专门面向中小企业采购。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投标人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p>
      <w:pPr>
        <w:pStyle w:val="null3"/>
      </w:pPr>
      <w:r>
        <w:rPr>
          <w:rFonts w:ascii="仿宋_GB2312" w:hAnsi="仿宋_GB2312" w:cs="仿宋_GB2312" w:eastAsia="仿宋_GB2312"/>
        </w:rPr>
        <w:t>2、财务状况报告：提供具有财务审计资质单位出具的完整的2024年度财务审计报告(成立时间至开标时间不足一年的可提供成立后任意时段的资产负债表)或开标前半年内其基本账户银行出具的资信证明（如提供资信证明，须同时提供基本存款账户开户许可证或基本账户信息表）；</w:t>
      </w:r>
    </w:p>
    <w:p>
      <w:pPr>
        <w:pStyle w:val="null3"/>
      </w:pPr>
      <w:r>
        <w:rPr>
          <w:rFonts w:ascii="仿宋_GB2312" w:hAnsi="仿宋_GB2312" w:cs="仿宋_GB2312" w:eastAsia="仿宋_GB2312"/>
        </w:rPr>
        <w:t>3、税收缴纳证明：提供截止至开标时间前一年内任意一个月的缴纳凭据:（依法免税的投标人应提供相关文件证明）；</w:t>
      </w:r>
    </w:p>
    <w:p>
      <w:pPr>
        <w:pStyle w:val="null3"/>
      </w:pPr>
      <w:r>
        <w:rPr>
          <w:rFonts w:ascii="仿宋_GB2312" w:hAnsi="仿宋_GB2312" w:cs="仿宋_GB2312" w:eastAsia="仿宋_GB2312"/>
        </w:rPr>
        <w:t>4、社会保障资金缴纳证明：提供截止至开标时间前一年内任意一个月的社保缴纳凭据或社保机构开具的社会保险参保缴纳情况证明;(依法不需要缴纳社会保障资金的投标人应提供相关证明)；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5、承诺书：提供具有履行本合同所必需的设备和专业技术能力的说明及承诺:(提供书面说明及承诺，加盖投标人公章)；</w:t>
      </w:r>
    </w:p>
    <w:p>
      <w:pPr>
        <w:pStyle w:val="null3"/>
      </w:pPr>
      <w:r>
        <w:rPr>
          <w:rFonts w:ascii="仿宋_GB2312" w:hAnsi="仿宋_GB2312" w:cs="仿宋_GB2312" w:eastAsia="仿宋_GB2312"/>
        </w:rPr>
        <w:t>6、重大违法记录的书面声明：提供参加政府采购活动前三年内在经营活动中没有重大违法记录的书面声明。(提供书面声明，加盖投标人公章）；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7、资质：投标人须具备行政主管部门颁发的城乡规划编制甲级资质；</w:t>
      </w:r>
    </w:p>
    <w:p>
      <w:pPr>
        <w:pStyle w:val="null3"/>
      </w:pPr>
      <w:r>
        <w:rPr>
          <w:rFonts w:ascii="仿宋_GB2312" w:hAnsi="仿宋_GB2312" w:cs="仿宋_GB2312" w:eastAsia="仿宋_GB2312"/>
        </w:rPr>
        <w:t>8、法定代表人资格证明书或法定代表人授权委托书：法定代表人授权委托书(附法定代表人身份证复印件及被授权人身份证复印件);法定代表人直接参加投标只须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9、信用信息：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w:t>
      </w:r>
    </w:p>
    <w:p>
      <w:pPr>
        <w:pStyle w:val="null3"/>
      </w:pPr>
      <w:r>
        <w:rPr>
          <w:rFonts w:ascii="仿宋_GB2312" w:hAnsi="仿宋_GB2312" w:cs="仿宋_GB2312" w:eastAsia="仿宋_GB2312"/>
        </w:rPr>
        <w:t>10、控股关系：单位负责人为同一人或者存在直接控股、管理关系的不同投标人，不得参加同一合同项下的政府采购活动;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11、联合体：本项目不接受联合体投标（提供承诺书）；投标人需在项目电子化交易系统中按要求上传相应证明文件并进行电子签章。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华山风景名胜区管理委员会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华阴市玉泉路中段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郭荣静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0913-4363507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陕西正林项目管理有限公司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西安市未央区太华路与凤城三路十字西南角禾旭四海中心1002室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曹天天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029-87543079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采购包1：8,450,800.00元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开户名称：陕西正林项目管理有限公司</w:t>
            </w:r>
          </w:p>
          <w:p>
            <w:pPr>
              <w:pStyle w:val="null3"/>
            </w:pPr>
            <w:r>
              <w:rPr>
                <w:rFonts w:ascii="仿宋_GB2312" w:hAnsi="仿宋_GB2312" w:cs="仿宋_GB2312" w:eastAsia="仿宋_GB2312"/>
              </w:rPr>
              <w:t>开户银行：中国建设银行股份有限公司西安莲湖路支行</w:t>
            </w:r>
          </w:p>
          <w:p>
            <w:pPr>
              <w:pStyle w:val="null3"/>
            </w:pPr>
            <w:r>
              <w:rPr>
                <w:rFonts w:ascii="仿宋_GB2312" w:hAnsi="仿宋_GB2312" w:cs="仿宋_GB2312" w:eastAsia="仿宋_GB2312"/>
              </w:rPr>
              <w:t>银行账号：61001713500059090300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关于印发&lt;招标代理服务收费管理暂行办法&gt;的通知》(计价格〔2002〕1980号)、《国家发展改革委关于降低部分建设项目收费标准规范收费行为等有关问题的通知》(发改价格〔2011〕534号)的规定收费标准，下浮6%计取（计算基数按中标价计算）； 由中标人向陕西正林项目管理有限公司一次性交纳。 收款单位：陕西正林项目管理有限公司 开 户 行：中国建设银行股份有限公司西安莲湖路支行 账 号：61001713500059090300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华山风景名胜区管理委员会</w:t>
      </w:r>
      <w:r>
        <w:rPr>
          <w:rFonts w:ascii="仿宋_GB2312" w:hAnsi="仿宋_GB2312" w:cs="仿宋_GB2312" w:eastAsia="仿宋_GB2312"/>
        </w:rPr>
        <w:t>和</w:t>
      </w:r>
      <w:r>
        <w:rPr>
          <w:rFonts w:ascii="仿宋_GB2312" w:hAnsi="仿宋_GB2312" w:cs="仿宋_GB2312" w:eastAsia="仿宋_GB2312"/>
        </w:rPr>
        <w:t>陕西正林项目管理有限公司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华山风景名胜区管理委员会</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陕西正林项目管理有限公司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华山风景名胜区管理委员会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陕西正林项目管理有限公司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满足采购内容及要求，按时完成所有服务项目，符合国家(行业)强制性标准，验收审批服务达到采购人要求。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陕西正林项目管理有限公司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陕西正林项目管理有限公司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陕西正林项目管理有限公司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联系人：曹天天</w:t>
      </w:r>
    </w:p>
    <w:p>
      <w:pPr>
        <w:pStyle w:val="null3"/>
      </w:pPr>
      <w:r>
        <w:rPr>
          <w:rFonts w:ascii="仿宋_GB2312" w:hAnsi="仿宋_GB2312" w:cs="仿宋_GB2312" w:eastAsia="仿宋_GB2312"/>
        </w:rPr>
        <w:t>联系电话：029-87543079</w:t>
      </w:r>
    </w:p>
    <w:p>
      <w:pPr>
        <w:pStyle w:val="null3"/>
      </w:pPr>
      <w:r>
        <w:rPr>
          <w:rFonts w:ascii="仿宋_GB2312" w:hAnsi="仿宋_GB2312" w:cs="仿宋_GB2312" w:eastAsia="仿宋_GB2312"/>
        </w:rPr>
        <w:t>地址：西安市未央区太华路与凤城三路十字西南角禾旭四海中心1002室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4"/>
        </w:rPr>
        <w:t>华山是我国著名的五岳之一，古称西岳，位于陕西省华阴市境内，雄踞关中平原东部，南依秦岭，北瞰黄渭，是首批国家级重点风景名胜区、国家</w:t>
      </w:r>
      <w:r>
        <w:rPr>
          <w:rFonts w:ascii="仿宋_GB2312" w:hAnsi="仿宋_GB2312" w:cs="仿宋_GB2312" w:eastAsia="仿宋_GB2312"/>
          <w:sz w:val="24"/>
        </w:rPr>
        <w:t>5A级旅游景区，国家地理南北分水岭秦岭的重要组成部分。华山以雄奇峻秀的自然景观和丰富的人文资源名扬四海，素有“奇险天下第一山”之称。</w:t>
      </w:r>
    </w:p>
    <w:p>
      <w:pPr>
        <w:pStyle w:val="null3"/>
      </w:pPr>
      <w:r>
        <w:rPr>
          <w:rFonts w:ascii="仿宋_GB2312" w:hAnsi="仿宋_GB2312" w:cs="仿宋_GB2312" w:eastAsia="仿宋_GB2312"/>
          <w:sz w:val="24"/>
        </w:rPr>
        <w:t>为适应保护、利用、管理和发展的需要，切实保护风景名胜资源，全面发挥风景名胜区的功能和效用，依据国务院《风景名胜区条例》《风景名胜区总体规划标准》（</w:t>
      </w:r>
      <w:r>
        <w:rPr>
          <w:rFonts w:ascii="仿宋_GB2312" w:hAnsi="仿宋_GB2312" w:cs="仿宋_GB2312" w:eastAsia="仿宋_GB2312"/>
          <w:sz w:val="24"/>
        </w:rPr>
        <w:t>GB/T52098-2018）等法规规定，经相关部门批准开展《华山风景名胜区总体规划（2025-2035）》修编工作。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8,450,800.00</w:t>
      </w:r>
    </w:p>
    <w:p>
      <w:pPr>
        <w:pStyle w:val="null3"/>
      </w:pPr>
      <w:r>
        <w:rPr>
          <w:rFonts w:ascii="仿宋_GB2312" w:hAnsi="仿宋_GB2312" w:cs="仿宋_GB2312" w:eastAsia="仿宋_GB2312"/>
        </w:rPr>
        <w:t>采购包最高限价（元）: 5,910,000.00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华山风景名胜区总体规划（2025-2035）修编项目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8,450,800.00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标的名称：华山风景名胜区总体规划（2025-2035）修编项目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一、基本情况</w:t>
            </w:r>
          </w:p>
          <w:p>
            <w:pPr>
              <w:pStyle w:val="null3"/>
            </w:pPr>
            <w:r>
              <w:rPr>
                <w:rFonts w:ascii="仿宋_GB2312" w:hAnsi="仿宋_GB2312" w:cs="仿宋_GB2312" w:eastAsia="仿宋_GB2312"/>
                <w:sz w:val="21"/>
              </w:rPr>
              <w:t>华山是我国著名的五岳之一，古称西岳，位于陕西省华阴市境内，雄踞关中平原东部，南依秦岭，北瞰黄渭，是首批国家级重点风景名胜区、国家5A级旅游景区，国家地理南北分水岭秦岭的重要组成部分。华山以雄奇峻秀的自然景观和丰富的人文资源名扬四海，素有“奇险天下第一山”之称。</w:t>
            </w:r>
          </w:p>
          <w:p>
            <w:pPr>
              <w:pStyle w:val="null3"/>
            </w:pPr>
            <w:r>
              <w:rPr>
                <w:rFonts w:ascii="仿宋_GB2312" w:hAnsi="仿宋_GB2312" w:cs="仿宋_GB2312" w:eastAsia="仿宋_GB2312"/>
                <w:sz w:val="21"/>
              </w:rPr>
              <w:t>为适应保护、利用、管理和发展的需要，切实保护风景名胜资源，全面发挥风景名胜区的功能和效用，依据国务院《风景名胜区条例》《风景名胜区总体规划标准》（GB/T52098-2018）等法规规定，经相关部门批准开展《华山风景名胜区总体规划（2025-2035）》修编工作。</w:t>
            </w:r>
          </w:p>
          <w:p>
            <w:pPr>
              <w:pStyle w:val="null3"/>
            </w:pPr>
            <w:r>
              <w:rPr>
                <w:rFonts w:ascii="仿宋_GB2312" w:hAnsi="仿宋_GB2312" w:cs="仿宋_GB2312" w:eastAsia="仿宋_GB2312"/>
                <w:sz w:val="21"/>
              </w:rPr>
              <w:t>二、采购内容</w:t>
            </w:r>
          </w:p>
          <w:p>
            <w:pPr>
              <w:pStyle w:val="null3"/>
            </w:pPr>
            <w:r>
              <w:rPr>
                <w:rFonts w:ascii="仿宋_GB2312" w:hAnsi="仿宋_GB2312" w:cs="仿宋_GB2312" w:eastAsia="仿宋_GB2312"/>
                <w:sz w:val="21"/>
              </w:rPr>
              <w:t>1.项目名称：《华山风景名胜区总体规划（2025-2035）》修编项目</w:t>
            </w:r>
          </w:p>
          <w:p>
            <w:pPr>
              <w:pStyle w:val="null3"/>
            </w:pPr>
            <w:r>
              <w:rPr>
                <w:rFonts w:ascii="仿宋_GB2312" w:hAnsi="仿宋_GB2312" w:cs="仿宋_GB2312" w:eastAsia="仿宋_GB2312"/>
                <w:sz w:val="21"/>
              </w:rPr>
              <w:t>2.预算金额：8450800.00 元；最高限价：5910000.00元</w:t>
            </w:r>
          </w:p>
          <w:p>
            <w:pPr>
              <w:pStyle w:val="null3"/>
            </w:pPr>
            <w:r>
              <w:rPr>
                <w:rFonts w:ascii="仿宋_GB2312" w:hAnsi="仿宋_GB2312" w:cs="仿宋_GB2312" w:eastAsia="仿宋_GB2312"/>
                <w:sz w:val="21"/>
              </w:rPr>
              <w:t>3.服务期限：自合同签订之日起 2年。</w:t>
            </w:r>
          </w:p>
          <w:p>
            <w:pPr>
              <w:pStyle w:val="null3"/>
            </w:pPr>
            <w:r>
              <w:rPr>
                <w:rFonts w:ascii="仿宋_GB2312" w:hAnsi="仿宋_GB2312" w:cs="仿宋_GB2312" w:eastAsia="仿宋_GB2312"/>
                <w:sz w:val="21"/>
              </w:rPr>
              <w:t>4.地    点：采购人指定地点。</w:t>
            </w:r>
          </w:p>
          <w:p>
            <w:pPr>
              <w:pStyle w:val="null3"/>
            </w:pPr>
            <w:r>
              <w:rPr>
                <w:rFonts w:ascii="仿宋_GB2312" w:hAnsi="仿宋_GB2312" w:cs="仿宋_GB2312" w:eastAsia="仿宋_GB2312"/>
                <w:sz w:val="21"/>
              </w:rPr>
              <w:t>5.采购内容：完成《华山风景名胜区总体规划（2025-2035）》修编文本、说明书、总体规划修编附图、基础资料汇编、各功能分区坐标点位数据等，还需完成风景资源评价、旅游资源评价、基础设施评价、环境影响评价4个专题研究报告。</w:t>
            </w:r>
          </w:p>
          <w:p>
            <w:pPr>
              <w:pStyle w:val="null3"/>
            </w:pPr>
            <w:r>
              <w:rPr>
                <w:rFonts w:ascii="仿宋_GB2312" w:hAnsi="仿宋_GB2312" w:cs="仿宋_GB2312" w:eastAsia="仿宋_GB2312"/>
                <w:sz w:val="21"/>
              </w:rPr>
              <w:t>三、服务要求</w:t>
            </w:r>
          </w:p>
          <w:p>
            <w:pPr>
              <w:pStyle w:val="null3"/>
            </w:pPr>
            <w:r>
              <w:rPr>
                <w:rFonts w:ascii="仿宋_GB2312" w:hAnsi="仿宋_GB2312" w:cs="仿宋_GB2312" w:eastAsia="仿宋_GB2312"/>
                <w:sz w:val="21"/>
              </w:rPr>
              <w:t>（1）依据《风景名胜区条例》《风景名胜区总体规划标准》（GB/T52098-2018）等国家法律法规（若《条例》《标准》重新修订，最终成果需符合新规定），坚持生态优先，绿化发展的原则，突出风景名胜资源的自然特性、文化内涵和地方特色，充分考虑《华山风景名胜区总体规划（2011-2025）评估报告》，科学编制新一轮华山风景名胜区总体规划,为华山风景名胜区的可持续发展奠定基础。</w:t>
            </w:r>
          </w:p>
          <w:p>
            <w:pPr>
              <w:pStyle w:val="null3"/>
            </w:pPr>
            <w:r>
              <w:rPr>
                <w:rFonts w:ascii="仿宋_GB2312" w:hAnsi="仿宋_GB2312" w:cs="仿宋_GB2312" w:eastAsia="仿宋_GB2312"/>
                <w:sz w:val="21"/>
              </w:rPr>
              <w:t>（2）完成《华山风景名胜区总体规划（2025-2035）》修编文本、说明书、总体规划修编附图、基础资料汇编、各功能分区坐标点位数据等，还需完成风景资源评价、旅游资源评价、基础设施评价、环境影响评价4个专题研究报告。</w:t>
            </w:r>
          </w:p>
          <w:p>
            <w:pPr>
              <w:pStyle w:val="null3"/>
            </w:pPr>
            <w:r>
              <w:rPr>
                <w:rFonts w:ascii="仿宋_GB2312" w:hAnsi="仿宋_GB2312" w:cs="仿宋_GB2312" w:eastAsia="仿宋_GB2312"/>
                <w:sz w:val="21"/>
              </w:rPr>
              <w:t>（3）协助景区修编总规成果的报批及各级专家审查等工作，形成并修改完善编制成果。</w:t>
            </w:r>
          </w:p>
          <w:p>
            <w:pPr>
              <w:pStyle w:val="null3"/>
            </w:pPr>
            <w:r>
              <w:rPr>
                <w:rFonts w:ascii="仿宋_GB2312" w:hAnsi="仿宋_GB2312" w:cs="仿宋_GB2312" w:eastAsia="仿宋_GB2312"/>
                <w:sz w:val="21"/>
              </w:rPr>
              <w:t>（4）编制过程中，因国家政策等因素发生规划面积调整的，编制成果和编制费用以最终审批规划面积为准，中标单位无条件接受。</w:t>
            </w:r>
          </w:p>
          <w:p>
            <w:pPr>
              <w:pStyle w:val="null3"/>
            </w:pPr>
            <w:r>
              <w:rPr>
                <w:rFonts w:ascii="仿宋_GB2312" w:hAnsi="仿宋_GB2312" w:cs="仿宋_GB2312" w:eastAsia="仿宋_GB2312"/>
                <w:sz w:val="21"/>
              </w:rPr>
              <w:t>四、付款方式</w:t>
            </w:r>
          </w:p>
          <w:p>
            <w:pPr>
              <w:pStyle w:val="null3"/>
            </w:pPr>
            <w:r>
              <w:rPr>
                <w:rFonts w:ascii="仿宋_GB2312" w:hAnsi="仿宋_GB2312" w:cs="仿宋_GB2312" w:eastAsia="仿宋_GB2312"/>
                <w:sz w:val="21"/>
              </w:rPr>
              <w:t>（1）本合同签订后30日内，支付合同总额的50%;</w:t>
            </w:r>
          </w:p>
          <w:p>
            <w:pPr>
              <w:pStyle w:val="null3"/>
            </w:pPr>
            <w:r>
              <w:rPr>
                <w:rFonts w:ascii="仿宋_GB2312" w:hAnsi="仿宋_GB2312" w:cs="仿宋_GB2312" w:eastAsia="仿宋_GB2312"/>
                <w:sz w:val="21"/>
              </w:rPr>
              <w:t>（2）提交总体规划修编成果，在省级专家评审通过后30日内，支付合同总额的40%；</w:t>
            </w:r>
          </w:p>
          <w:p>
            <w:pPr>
              <w:pStyle w:val="null3"/>
            </w:pPr>
            <w:r>
              <w:rPr>
                <w:rFonts w:ascii="仿宋_GB2312" w:hAnsi="仿宋_GB2312" w:cs="仿宋_GB2312" w:eastAsia="仿宋_GB2312"/>
                <w:sz w:val="21"/>
              </w:rPr>
              <w:t>（3）总体规划修编成果完成报批后，支付合同总额的10%。</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自合同签订之日起2年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满足采购内容及要求，按时完成所有服务项目，符合国家(行业)强制性标准，验收审批服务达到采购人要求。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提交总体规划修编成果，在省级专家评审通过后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总体规划修编成果完成报批后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双方友好协商，协商不成可向项目所在地人民法院起诉。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中标人在领取中标通知书时须提供纸质投标文件正本壹份、副本贰份用于存档。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投标人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完整的2024年度财务审计报告(成立时间至开标时间不足一年的可提供成立后任意时段的资产负债表)或开标前半年内其基本账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提供截止至开标时间前一年内任意一个月的缴纳凭据:（依法免税的投标人应提供相关文件证明）；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提供截止至开标时间前一年内任意一个月的社保缴纳凭据或社保机构开具的社会保险参保缴纳情况证明;(依法不需要缴纳社会保障资金的投标人应提供相关证明)；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投标人须具备行政主管部门颁发的城乡规划编制甲级资质；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法定代表人资格证明书或法定代表人授权委托书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只须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本项目不接受联合体投标（提供承诺书）；投标人需在项目电子化交易系统中按要求上传相应证明文件并进行电子签章。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投标报价是固定价且唯一，不得提交选择性报价，且投标报价不得高于等于最高投标限价。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投标单位名称</w:t>
            </w:r>
          </w:p>
        </w:tc>
        <w:tc>
          <w:tcPr>
            <w:tcW w:type="dxa" w:w="3322"/>
          </w:tcPr>
          <w:p>
            <w:pPr>
              <w:pStyle w:val="null3"/>
            </w:pPr>
            <w:r>
              <w:rPr>
                <w:rFonts w:ascii="仿宋_GB2312" w:hAnsi="仿宋_GB2312" w:cs="仿宋_GB2312" w:eastAsia="仿宋_GB2312"/>
              </w:rPr>
              <w:t>投标单位名称与营业执照等资料相一致</w:t>
            </w:r>
          </w:p>
        </w:tc>
        <w:tc>
          <w:tcPr>
            <w:tcW w:type="dxa" w:w="1661"/>
          </w:tcPr>
          <w:p>
            <w:pPr>
              <w:pStyle w:val="null3"/>
            </w:pPr>
            <w:r>
              <w:rPr>
                <w:rFonts w:ascii="仿宋_GB2312" w:hAnsi="仿宋_GB2312" w:cs="仿宋_GB2312" w:eastAsia="仿宋_GB2312"/>
              </w:rPr>
              <w:t>开标一览表 业绩.docx 中小企业声明函 商务应答表.docx 项目负责人能力.docx 资格证明文件.docx 分项报价表.docx 投标函 投标保证金缴纳凭证.docx 残疾人福利性单位声明函 标的清单 投标文件封面 服务内容及服务邀请应答表.docx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 xml:space="preserve"> 投标文件签署盖章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分项报价表.docx 投标函 中小企业声明函 残疾人福利性单位声明函 标的清单 投标文件封面 商务应答表.docx 服务内容及服务邀请应答表.docx 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服务期限、投标有效期等符合采购文件要求</w:t>
            </w:r>
          </w:p>
        </w:tc>
        <w:tc>
          <w:tcPr>
            <w:tcW w:type="dxa" w:w="1661"/>
          </w:tcPr>
          <w:p>
            <w:pPr>
              <w:pStyle w:val="null3"/>
            </w:pPr>
            <w:r>
              <w:rPr>
                <w:rFonts w:ascii="仿宋_GB2312" w:hAnsi="仿宋_GB2312" w:cs="仿宋_GB2312" w:eastAsia="仿宋_GB2312"/>
              </w:rPr>
              <w:t>投标函 商务应答表.docx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投标保证金缴纳凭证.docx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一、评审内容： 1.项目背景调查及解读理解； 2.现行政策的分析、区域环境分析； 3.发展趋势分析； 4.规划编制的条件认知。 二、评审标准： 项目理解各部分内容全面详细、分析深入、阐述条理清晰详尽、符合本项目采购需求，得8分，每缺一项内容扣2分；每项评审内容每存在1处缺陷的扣0.5分，扣完本项分值为止。 注：评审标准“缺陷”是指：①编制内容与项目不吻合、层次未细化；②阐述未从实际出发，不切合项目背景及需求；③存在抄袭或套用其他地区或项目内容；④前后逻辑错误、存在歧义；⑤无具体详细的阐述、实施性不强；⑥科学原理或常识错误等。 未提供方案不得分。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1.总体工作思路与总体规划理念； 2.总体规划编制依据、编制原则； 3.主要任务分析与技术路线； 4.资料数据收集工作安排的设计与部署（含收集清单、来源渠道、数据分析路径）； 5.报告成果提交及报批方案； 6.总体规划实施与落地保障措施 7.保密措施； 8.应急预案（①突发事件识别；②应急情况处理措施；③突发事件应急人员安排）； 二、评审标准： 服务方案各部分内容全面详细、思路清晰、技术路线科学、保障措施有力，完全符合本项目的实际需求，得 20分，每缺一项内容扣 2.5 分；每项评审内容每存在 1 处缺陷的扣 0.5分，扣完本项分值为止。 注：评审标准“缺陷”是指：①编制内容与项目不吻合、层次未细化；②阐述未从实际出发，不切合项目背景及需求；③存在抄袭或套用其他地区或项目内容；④前后逻辑错误、存在歧义；⑤无具体详细的阐述、实施性不强；⑥科学原理或常识错误等。 未提供方案不得分。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重点、难点 分析及合理化建议</w:t>
            </w:r>
          </w:p>
        </w:tc>
        <w:tc>
          <w:tcPr>
            <w:tcW w:type="dxa" w:w="2492"/>
          </w:tcPr>
          <w:p>
            <w:pPr>
              <w:pStyle w:val="null3"/>
            </w:pPr>
            <w:r>
              <w:rPr>
                <w:rFonts w:ascii="仿宋_GB2312" w:hAnsi="仿宋_GB2312" w:cs="仿宋_GB2312" w:eastAsia="仿宋_GB2312"/>
              </w:rPr>
              <w:t>一、评审内容： 1.重难点分析； 2.应对措施； 3.重难点应对经验； 4.合理化建议。 二、评审标准： 对重点、难点的分析深刻准确，应对措施针对性强，经验佐证有力，合理化建议具有前瞻性和可采纳价值，得16分，每缺一项内容扣4分；每项评审内容每存在1处缺陷的扣0.5分，扣完本项分值为止。 注：评审标准“缺陷”是指：①编制内容与项目不吻合、层次未细化；②阐述未从实际出发，不切合项目背景及需求；③存在抄袭或套用其他地区或项目内容；④前后逻辑错误、存在歧义；⑤无具体详细的阐述、实施性不强；⑥科学原理或常识错误等。 未提供方案不得分。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项目进度安排</w:t>
            </w:r>
          </w:p>
        </w:tc>
        <w:tc>
          <w:tcPr>
            <w:tcW w:type="dxa" w:w="2492"/>
          </w:tcPr>
          <w:p>
            <w:pPr>
              <w:pStyle w:val="null3"/>
            </w:pPr>
            <w:r>
              <w:rPr>
                <w:rFonts w:ascii="仿宋_GB2312" w:hAnsi="仿宋_GB2312" w:cs="仿宋_GB2312" w:eastAsia="仿宋_GB2312"/>
              </w:rPr>
              <w:t>一、评审内容： 1.各项工作任务完成期限与时间节点安排的合理性； 2.任务进度跟踪与管控机制； 3.任务进度偏差调整预案； 4. 后续服务保障与成果交付承诺。 二、评审标准： 项目进度保证各部分内容全面详细、节点清晰、管控有力、预案完善、后续保障承诺可行，完全满足本项目的时间要求与审批节奏，得4分，每缺一项内容扣 1 分；每项评审内容每存在 1 处缺陷的扣 0.5 分，扣完本项分值为止。 注：评审标准“缺陷”是指：①编制内容与项目不吻合、层次未细化；②阐述未从实际出发，不切合项目背景及需求；③存在抄袭或套用其他地区或项目内容；④前后逻辑错误、存在歧义；⑤无具体详细的阐述、实施性不强；⑥科学原理或常识错误等。 未提供方案不得分。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项目服务质量保证</w:t>
            </w:r>
          </w:p>
        </w:tc>
        <w:tc>
          <w:tcPr>
            <w:tcW w:type="dxa" w:w="2492"/>
          </w:tcPr>
          <w:p>
            <w:pPr>
              <w:pStyle w:val="null3"/>
            </w:pPr>
            <w:r>
              <w:rPr>
                <w:rFonts w:ascii="仿宋_GB2312" w:hAnsi="仿宋_GB2312" w:cs="仿宋_GB2312" w:eastAsia="仿宋_GB2312"/>
              </w:rPr>
              <w:t>一、评审内容： 1.质量目标与质量控制要点； 2.质量责任与保障体系； 3.全过程质量控制要点； 4.质量问题整改与后续服务承诺。 二、评审标准： 项目服务质量保证方案内容完整、重点突出，保障措施具体可行、针对性强，质量管控逻辑清晰、阐述严谨，完全切合本项目实际需求，得 6分，每缺一项内容扣1.5分；每项评审内容每存在 1 处缺陷的扣 0.5 分，扣完本项分值为止。 注：评审标准“缺陷”是指：①编制内容与项目不吻合、层次未细化；②阐述未从实际出发，不切合项目背景及需求；③存在抄袭或套用其他地区或项目内容；④前后逻辑错误、存在歧义；⑤无具体详细的阐述、实施性不强；⑥科学原理或常识错误等。 未提供方案不得分。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投标人委派本项目编制团队须具有以下专业技术人员： （1）项目团队中具有风景园林高级职称且具有注册城乡规划师执业资格的，得2分，不累计； （2）项目团队中具有城市规划高级职称且具有注册城乡规划师执业资格的，得2分，不累计； （3）项目团队中有城乡基础设施规划高级职称且具有注册城乡规划师执业资格的，得2分，不累计； （4）项目团队中具有区域发展与城乡规划高级职称且具有注册城乡规划师执业资格的，得2分，不累计； （5）项目团队中具有国土资源管理高级职称且具有注册城乡规划师执业资格的，得2分，不累计； （6）项目团队中具有道路交通专业高级职称且具有注册城乡规划师执业资格的，得2分，不累计； 注：投标文件中需注明编制团队成员相关信息和在本项目中所承担的职责任务，并提供职称证、资格证书复印件和团队成员在投标单位近一年内任意一个月的社会保险缴纳证明材料，若社保由投标单位上级主管单位或所属法人主体代缴的，可提供该单位缴纳的社保证明，同时附双方隶属关系、人事管理相关证明材料；若为退休人员，无需提供社保证明，须提供退休证（或退休证明文件）及返聘合同。</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项目负责人能力</w:t>
            </w:r>
          </w:p>
        </w:tc>
        <w:tc>
          <w:tcPr>
            <w:tcW w:type="dxa" w:w="2492"/>
          </w:tcPr>
          <w:p>
            <w:pPr>
              <w:pStyle w:val="null3"/>
            </w:pPr>
            <w:r>
              <w:rPr>
                <w:rFonts w:ascii="仿宋_GB2312" w:hAnsi="仿宋_GB2312" w:cs="仿宋_GB2312" w:eastAsia="仿宋_GB2312"/>
              </w:rPr>
              <w:t>（1）项目负责人：具备城乡规划师资格证书且在本单位注册及正高级职称，得2分。 注：投标文件中需注明编制项目负责人相关信息和在本项目中所承担的职责任务，并提供职称证、资格证书复印件和项目负责人在投标单位近一年内任意一个月的社会保险缴纳证明材料，若社保由投标单位上级主管单位或所属法人主体代缴的，可提供该单位缴纳的社保证明，同时附双方隶属关系、人事管理相关证明材料；若为退休人员，无需提供社保证明，须提供退休证（或退休证明文件）及返聘合同。</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项目负责人能力.docx</w:t>
            </w:r>
          </w:p>
        </w:tc>
      </w:tr>
      <w:tr>
        <w:tc>
          <w:tcPr>
            <w:tcW w:type="dxa" w:w="831"/>
            <w:vMerge/>
          </w:tcPr>
          <w:p/>
        </w:tc>
        <w:tc>
          <w:tcPr>
            <w:tcW w:type="dxa" w:w="1661"/>
          </w:tcPr>
          <w:p>
            <w:pPr>
              <w:pStyle w:val="null3"/>
            </w:pPr>
            <w:r>
              <w:rPr>
                <w:rFonts w:ascii="仿宋_GB2312" w:hAnsi="仿宋_GB2312" w:cs="仿宋_GB2312" w:eastAsia="仿宋_GB2312"/>
              </w:rPr>
              <w:t>项目负责人能力</w:t>
            </w:r>
          </w:p>
        </w:tc>
        <w:tc>
          <w:tcPr>
            <w:tcW w:type="dxa" w:w="2492"/>
          </w:tcPr>
          <w:p>
            <w:pPr>
              <w:pStyle w:val="null3"/>
            </w:pPr>
            <w:r>
              <w:rPr>
                <w:rFonts w:ascii="仿宋_GB2312" w:hAnsi="仿宋_GB2312" w:cs="仿宋_GB2312" w:eastAsia="仿宋_GB2312"/>
              </w:rPr>
              <w:t>（2）项目负责人获得过省级优秀城乡规划设计奖项的，每个得 1分；获得过全国优秀城乡规划设计奖项的，每个得 2分；本项最多4分，同一项目获奖，不重复计分，以最高分计。 注：需提供颁奖单位正式颁奖文件或荣誉证书复印件或颁奖单位官方网站公示截图；证明材料需清晰体现项目名称、获奖者姓名为项目负责人本人、奖项类别及颁奖单位与日期。奖杯、奖牌可提供清晰照片作为补充佐证。</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项目负责人能力.docx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（1）投标人2021年1月1日至投标截止之日，承担过省级或国家级风景名胜区项目：每提供一个业绩证明材料计3分，满分6分。 注：业绩认定以合同签订时间为准，需提供合同关键页复印件（载明投标人名称、规划编制内容、签订时间）。</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（2）投标人承担过省级或国家级风景名胜区规划类项目，获得过省级或全国优秀城乡规划设计奖项的，本项得 2 分；同一项目获得多个级别奖项的，不重复计分，以最高级别计。 注：需提供颁奖单位正式颁奖文件或荣誉证书复印件或颁奖单位官方网站公示截图；证明材料需清晰体现项目名称、单位名称、奖项等级及颁奖单位与日期。奖杯、奖牌可提供清晰照片作为补充佐证。</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 报价得分=（评审基准价/投标报价）×20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详见附件：项目负责人能力.docx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详见附件：投标保证金缴纳凭证.docx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详见附件：残疾人福利性单位声明函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