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版本号：SXTW-2026-020120260209002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渭南市“十五五”住房和城乡建设事业发展规划编制及城市工作会议相关专题研究项目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SXTW-2026-0201</w:t>
      </w:r>
      <w:r>
        <w:br/>
      </w:r>
      <w:r>
        <w:br/>
      </w:r>
      <w:r>
        <w:br/>
      </w:r>
    </w:p>
    <w:p>
      <w:pPr>
        <w:pStyle w:val="null3"/>
        <w:jc w:val="center"/>
        <w:outlineLvl w:val="2"/>
      </w:pPr>
      <w:r>
        <w:rPr>
          <w:rFonts w:ascii="仿宋_GB2312" w:hAnsi="仿宋_GB2312" w:cs="仿宋_GB2312" w:eastAsia="仿宋_GB2312"/>
          <w:sz w:val="28"/>
          <w:b/>
        </w:rPr>
        <w:t>渭南市住房和城乡建设局</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渭南市住房和城乡建设局</w:t>
      </w:r>
      <w:r>
        <w:rPr>
          <w:rFonts w:ascii="仿宋_GB2312" w:hAnsi="仿宋_GB2312" w:cs="仿宋_GB2312" w:eastAsia="仿宋_GB2312"/>
        </w:rPr>
        <w:t>委托，拟对</w:t>
      </w:r>
      <w:r>
        <w:rPr>
          <w:rFonts w:ascii="仿宋_GB2312" w:hAnsi="仿宋_GB2312" w:cs="仿宋_GB2312" w:eastAsia="仿宋_GB2312"/>
        </w:rPr>
        <w:t>渭南市“十五五”住房和城乡建设事业发展规划编制及城市工作会议相关专题研究项目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SXTW-2026-0201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渭南市“十五五”住房和城乡建设事业发展规划编制及城市工作会议相关专题研究项目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系统谋划渭南市住房和城乡建设事业未来五年的发展蓝图，科学指导城市建设与管理实践，并为即将召开的城市工作会议提供扎实的决策依据，现拟组织开展“渭南市‘十五五’住房和城乡建设事业发展规划”编制工作，并同步进行与之紧密相关的城市发展重大专题研究。 本项目旨在立足渭南市发展新阶段，深入分析“十四五”时期住房城乡建设工作成效与不足，准确把握中省政策导向、区域发展战略及本市经济社会发展新要求。通过全面评估城镇化发展质量、住房供需结构、基础设施承载能力、人居环境品质、城市安全韧性、建筑业转型升级、城市治理现代化水平等关键领域，科学研判“十五五”时期面临的机遇与挑战。最终形成具有前瞻性、战略性、针对性和可操作性的规划成果，明确未来五年发展的指导思想、基本原则、主要目标、重点任务、重大项目和保障措施，为渭南市住房和城乡建设高质量发展提供行动纲领，为市委、市政府相关决策提供专业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2、企业资质：供应商须具备行政主管部门颁发的城乡规划（国土空间规划）编制甲级资质；</w:t>
      </w:r>
    </w:p>
    <w:p>
      <w:pPr>
        <w:pStyle w:val="null3"/>
      </w:pPr>
      <w:r>
        <w:rPr>
          <w:rFonts w:ascii="仿宋_GB2312" w:hAnsi="仿宋_GB2312" w:cs="仿宋_GB2312" w:eastAsia="仿宋_GB2312"/>
        </w:rPr>
        <w:t>3、法定代表人授权书/法定代表人身份证明书：法定代表人直接参加投标的，须提供法定代表人身份证明及其身份证扫描件；法定代表人授权他人参加投标的，须提供法定代表人身份证明及法定代表人授权委托书；</w:t>
      </w:r>
    </w:p>
    <w:p>
      <w:pPr>
        <w:pStyle w:val="null3"/>
      </w:pPr>
      <w:r>
        <w:rPr>
          <w:rFonts w:ascii="仿宋_GB2312" w:hAnsi="仿宋_GB2312" w:cs="仿宋_GB2312" w:eastAsia="仿宋_GB2312"/>
        </w:rPr>
        <w:t>4、财务状况报告：提供具有财务审计资质单位出具的2024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6、社会保障资金缴纳证明：提供递交投标文件截止之日前一年内任意一个月的社会保障资金缴存单据或社保机构开具的社会保险参保缴费情况证明；依法不需要缴纳社会保障资金的供应商应提供相关证明文件；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7、具有履行合同的声明：提供具有履行本合同所必需的设备和专业技术能力的说明及承诺；</w:t>
      </w:r>
    </w:p>
    <w:p>
      <w:pPr>
        <w:pStyle w:val="null3"/>
      </w:pPr>
      <w:r>
        <w:rPr>
          <w:rFonts w:ascii="仿宋_GB2312" w:hAnsi="仿宋_GB2312" w:cs="仿宋_GB2312" w:eastAsia="仿宋_GB2312"/>
        </w:rPr>
        <w:t>8、无重大违法记录书面声明：参加政府采购活动前三年内在经营活动中无重大违法记录的书面声明；</w:t>
      </w:r>
    </w:p>
    <w:p>
      <w:pPr>
        <w:pStyle w:val="null3"/>
      </w:pPr>
      <w:r>
        <w:rPr>
          <w:rFonts w:ascii="仿宋_GB2312" w:hAnsi="仿宋_GB2312" w:cs="仿宋_GB2312" w:eastAsia="仿宋_GB2312"/>
        </w:rPr>
        <w:t>9、信誉信息：投标人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10、无控股、管理承诺：单位负责人为同一人或者存在直接控股、管理关系的不同投标人，不得同时参加同一合同项下的政府采购活动；</w:t>
      </w:r>
    </w:p>
    <w:p>
      <w:pPr>
        <w:pStyle w:val="null3"/>
      </w:pPr>
      <w:r>
        <w:rPr>
          <w:rFonts w:ascii="仿宋_GB2312" w:hAnsi="仿宋_GB2312" w:cs="仿宋_GB2312" w:eastAsia="仿宋_GB2312"/>
        </w:rPr>
        <w:t>11、非联合体投标：提供非联合体声明。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王云飞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0913-2930538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渭南市胜利大街与前进路十字西200米（雅馨花园 C座东二楼）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高宇姣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国家发展改革委关于进一步放开建设项目专业服务价格的通知》（发改价格﹝2015﹞299号）的要求，参照《国家计委关于印发&lt;招标代理服务收费管理暂行办法&gt;的通知》（计价格〔2002〕1980号）文件规定的计费标准计取。 2.由中标单位在领取中标通知书前，须向采购代理机构一次性支付招标代理服务费。 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渭南市住房和城乡建设局</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联系人：高宇姣</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地址：渭南市胜利大街与前进路十字西200米（雅馨花园C座东二楼）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系统谋划渭南市住房和城乡建设事业未来五年的发展蓝图，科学指导城市建设与管理实践，并为即将召开的城市工作会议提供扎实的决策依据，现拟组织开展“渭南市‘十五五’住房和城乡建设事业发展规划”编制工作，并同步进行与之紧密相关的城市发展重大专题研究。 本项目旨在立足渭南市发展新阶段，深入分析“十四五”时期住房城乡建设工作成效与不足，准确把握中省政策导向、区域发展战略及本市经济社会发展新要求。通过全面评估城镇化发展质量、住房供需结构、基础设施承载能力、人居环境品质、城市安全韧性、建筑业转型升级、城市治理现代化水平等关键领域，科学研判“十五五”时期面临的机遇与挑战。最终形成具有前瞻性、战略性、针对性和可操作性的规划成果，明确未来五年发展的指导思想、基本原则、主要目标、重点任务、重大项目和保障措施，为渭南市住房和城乡建设高质量发展提供行动纲领，为市委、市政府相关决策提供专业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渭南市‘’十五五‘’住房和城乡建设事业发展规划编制及城市工作会议相关专题研究项目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标的名称：渭南市‘’十五五‘’住房和城乡建设事业发展规划编制及城市工作会议相关专题研究项目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1.服务项目概况</w:t>
            </w:r>
          </w:p>
          <w:p>
            <w:pPr>
              <w:pStyle w:val="null3"/>
              <w:jc w:val="both"/>
            </w:pPr>
            <w:r>
              <w:rPr>
                <w:rFonts w:ascii="仿宋_GB2312" w:hAnsi="仿宋_GB2312" w:cs="仿宋_GB2312" w:eastAsia="仿宋_GB2312"/>
                <w:sz w:val="20"/>
              </w:rPr>
              <w:t>为系统谋划渭南市住房和城乡建设事业未来五年的发展蓝图，科学指导城市建设与管理实践，并为即将召开的城市工作会议提供扎实的决策依据，现拟组织开展</w:t>
            </w:r>
            <w:r>
              <w:rPr>
                <w:rFonts w:ascii="仿宋_GB2312" w:hAnsi="仿宋_GB2312" w:cs="仿宋_GB2312" w:eastAsia="仿宋_GB2312"/>
                <w:sz w:val="20"/>
              </w:rPr>
              <w:t>“渭南市‘十五五’住房和城乡建设事业发展规划”编制工作，并同步进行与之紧密相关的城市发展重大专题研究。</w:t>
            </w:r>
          </w:p>
          <w:p>
            <w:pPr>
              <w:pStyle w:val="null3"/>
              <w:jc w:val="both"/>
            </w:pPr>
            <w:r>
              <w:rPr>
                <w:rFonts w:ascii="仿宋_GB2312" w:hAnsi="仿宋_GB2312" w:cs="仿宋_GB2312" w:eastAsia="仿宋_GB2312"/>
                <w:sz w:val="20"/>
              </w:rPr>
              <w:t>本项目旨在立足渭南市发展新阶段，深入分析</w:t>
            </w:r>
            <w:r>
              <w:rPr>
                <w:rFonts w:ascii="仿宋_GB2312" w:hAnsi="仿宋_GB2312" w:cs="仿宋_GB2312" w:eastAsia="仿宋_GB2312"/>
                <w:sz w:val="20"/>
              </w:rPr>
              <w:t>“十四五”时期住房城乡建设工作成效与不足，准确把握中省政策导向、区域发展战略及本市经济社会发展新要求。通过全面评估城镇化发展质量、住房供需结构、基础设施承载能力、人居环境品质、城市安全韧性、建筑业转型升级、城市治理现代化水平等关键领域，科学研判“十五五”时期面临的机遇与挑战。最终形成具有前瞻性、战略性、针对性和可操作性的规划成果，明确未来五年发展的指导思想、基本原则、主要目标、重点任务、重大项目和保障措施，为渭南市住房和城乡建设高质量发展提供行动纲领，为市委、市政府相关决策提供专业支撑。</w:t>
            </w:r>
          </w:p>
          <w:p>
            <w:pPr>
              <w:pStyle w:val="null3"/>
              <w:jc w:val="both"/>
            </w:pPr>
            <w:r>
              <w:rPr>
                <w:rFonts w:ascii="仿宋_GB2312" w:hAnsi="仿宋_GB2312" w:cs="仿宋_GB2312" w:eastAsia="仿宋_GB2312"/>
                <w:sz w:val="20"/>
                <w:b/>
              </w:rPr>
              <w:t>2.服务内容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1）渭南市“十五五”住房和城乡建设事业发展规划</w:t>
            </w:r>
          </w:p>
          <w:p>
            <w:pPr>
              <w:pStyle w:val="null3"/>
              <w:jc w:val="both"/>
            </w:pPr>
            <w:r>
              <w:rPr>
                <w:rFonts w:ascii="仿宋_GB2312" w:hAnsi="仿宋_GB2312" w:cs="仿宋_GB2312" w:eastAsia="仿宋_GB2312"/>
                <w:sz w:val="20"/>
              </w:rPr>
              <w:t>开展全面调研与现状评估，在科学研判发展形势基础上，明确</w:t>
            </w:r>
            <w:r>
              <w:rPr>
                <w:rFonts w:ascii="仿宋_GB2312" w:hAnsi="仿宋_GB2312" w:cs="仿宋_GB2312" w:eastAsia="仿宋_GB2312"/>
                <w:sz w:val="20"/>
              </w:rPr>
              <w:t>“十五五”时期住房保障、房地产市场、城市更新、基础设施、城乡融合等重点领域的指导思想、发展目标、主要任务和重大项目，并研究提出规划实施的保障措施，最终形成完整、规范、可操作的规划成果及相关说明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2）渭南市城市工作会议相关专题研究</w:t>
            </w:r>
          </w:p>
          <w:p>
            <w:pPr>
              <w:pStyle w:val="null3"/>
              <w:jc w:val="both"/>
            </w:pPr>
            <w:r>
              <w:rPr>
                <w:rFonts w:ascii="仿宋_GB2312" w:hAnsi="仿宋_GB2312" w:cs="仿宋_GB2312" w:eastAsia="仿宋_GB2312"/>
                <w:sz w:val="20"/>
              </w:rPr>
              <w:t>本研究聚焦现代化城市体系、创新城市、宜居城市、韧性城市、文明城市、智慧城市、美丽城市七大核心专题，系统整合各部门调研资料，精准分析现状短板，科学谋划发展路径，细化任务分工与协同机制。服务最终形成</w:t>
            </w:r>
            <w:r>
              <w:rPr>
                <w:rFonts w:ascii="仿宋_GB2312" w:hAnsi="仿宋_GB2312" w:cs="仿宋_GB2312" w:eastAsia="仿宋_GB2312"/>
                <w:sz w:val="20"/>
              </w:rPr>
              <w:t>7个专项专题报告及1份高质量实施意见，成果将兼具政策契合性、现实针对性与落地可操作性，为渭南市城市工作会精准部署提供坚实决策支撑，助力打造高品质现代化城市标杆。</w:t>
            </w:r>
          </w:p>
          <w:p>
            <w:pPr>
              <w:pStyle w:val="null3"/>
              <w:jc w:val="both"/>
            </w:pPr>
            <w:r>
              <w:rPr>
                <w:rFonts w:ascii="仿宋_GB2312" w:hAnsi="仿宋_GB2312" w:cs="仿宋_GB2312" w:eastAsia="仿宋_GB2312"/>
                <w:sz w:val="20"/>
                <w:b/>
              </w:rPr>
              <w:t>3.服务范围</w:t>
            </w:r>
          </w:p>
          <w:p>
            <w:pPr>
              <w:pStyle w:val="null3"/>
              <w:jc w:val="both"/>
            </w:pPr>
            <w:r>
              <w:rPr>
                <w:rFonts w:ascii="仿宋_GB2312" w:hAnsi="仿宋_GB2312" w:cs="仿宋_GB2312" w:eastAsia="仿宋_GB2312"/>
                <w:sz w:val="20"/>
              </w:rPr>
              <w:t>渭南市域</w:t>
            </w:r>
          </w:p>
          <w:p>
            <w:pPr>
              <w:pStyle w:val="null3"/>
              <w:jc w:val="both"/>
            </w:pPr>
            <w:r>
              <w:rPr>
                <w:rFonts w:ascii="仿宋_GB2312" w:hAnsi="仿宋_GB2312" w:cs="仿宋_GB2312" w:eastAsia="仿宋_GB2312"/>
                <w:sz w:val="20"/>
                <w:b/>
              </w:rPr>
              <w:t>4.成果资料</w:t>
            </w:r>
          </w:p>
          <w:p>
            <w:pPr>
              <w:pStyle w:val="null3"/>
              <w:jc w:val="both"/>
            </w:pPr>
            <w:r>
              <w:rPr>
                <w:rFonts w:ascii="仿宋_GB2312" w:hAnsi="仿宋_GB2312" w:cs="仿宋_GB2312" w:eastAsia="仿宋_GB2312"/>
                <w:sz w:val="20"/>
              </w:rPr>
              <w:t>电子成果资料</w:t>
            </w:r>
            <w:r>
              <w:rPr>
                <w:rFonts w:ascii="仿宋_GB2312" w:hAnsi="仿宋_GB2312" w:cs="仿宋_GB2312" w:eastAsia="仿宋_GB2312"/>
                <w:sz w:val="20"/>
              </w:rPr>
              <w:t>1套，纸质成果资料3套。</w:t>
            </w:r>
          </w:p>
          <w:p>
            <w:pPr>
              <w:pStyle w:val="null3"/>
            </w:pPr>
            <w:r>
              <w:rPr>
                <w:rFonts w:ascii="仿宋_GB2312" w:hAnsi="仿宋_GB2312" w:cs="仿宋_GB2312" w:eastAsia="仿宋_GB2312"/>
                <w:sz w:val="21"/>
                <w:b/>
              </w:rPr>
              <w:t>5.</w:t>
            </w:r>
            <w:r>
              <w:rPr>
                <w:rFonts w:ascii="仿宋_GB2312" w:hAnsi="仿宋_GB2312" w:cs="仿宋_GB2312" w:eastAsia="仿宋_GB2312"/>
                <w:sz w:val="21"/>
                <w:b/>
              </w:rPr>
              <w:t>服务期</w:t>
            </w:r>
          </w:p>
          <w:p>
            <w:pPr>
              <w:pStyle w:val="null3"/>
            </w:pPr>
            <w:r>
              <w:rPr>
                <w:rFonts w:ascii="仿宋_GB2312" w:hAnsi="仿宋_GB2312" w:cs="仿宋_GB2312" w:eastAsia="仿宋_GB2312"/>
              </w:rPr>
              <w:t>自合同签订之日起</w:t>
            </w:r>
            <w:r>
              <w:rPr>
                <w:rFonts w:ascii="仿宋_GB2312" w:hAnsi="仿宋_GB2312" w:cs="仿宋_GB2312" w:eastAsia="仿宋_GB2312"/>
              </w:rPr>
              <w:t>180日历天</w:t>
            </w:r>
          </w:p>
          <w:p>
            <w:pPr>
              <w:pStyle w:val="null3"/>
            </w:pPr>
            <w:r>
              <w:rPr>
                <w:rFonts w:ascii="仿宋_GB2312" w:hAnsi="仿宋_GB2312" w:cs="仿宋_GB2312" w:eastAsia="仿宋_GB2312"/>
                <w:sz w:val="21"/>
                <w:b/>
              </w:rPr>
              <w:t>6.</w:t>
            </w:r>
            <w:r>
              <w:rPr>
                <w:rFonts w:ascii="仿宋_GB2312" w:hAnsi="仿宋_GB2312" w:cs="仿宋_GB2312" w:eastAsia="仿宋_GB2312"/>
                <w:sz w:val="21"/>
                <w:b/>
              </w:rPr>
              <w:t>服务地点</w:t>
            </w:r>
          </w:p>
          <w:p>
            <w:pPr>
              <w:pStyle w:val="null3"/>
            </w:pPr>
            <w:r>
              <w:rPr>
                <w:rFonts w:ascii="仿宋_GB2312" w:hAnsi="仿宋_GB2312" w:cs="仿宋_GB2312" w:eastAsia="仿宋_GB2312"/>
                <w:sz w:val="21"/>
              </w:rPr>
              <w:t>渭南市</w:t>
            </w:r>
          </w:p>
          <w:p>
            <w:pPr>
              <w:pStyle w:val="null3"/>
            </w:pPr>
            <w:r>
              <w:rPr>
                <w:rFonts w:ascii="仿宋_GB2312" w:hAnsi="仿宋_GB2312" w:cs="仿宋_GB2312" w:eastAsia="仿宋_GB2312"/>
                <w:sz w:val="21"/>
                <w:b/>
              </w:rPr>
              <w:t>7.</w:t>
            </w:r>
            <w:r>
              <w:rPr>
                <w:rFonts w:ascii="仿宋_GB2312" w:hAnsi="仿宋_GB2312" w:cs="仿宋_GB2312" w:eastAsia="仿宋_GB2312"/>
                <w:sz w:val="21"/>
                <w:b/>
              </w:rPr>
              <w:t>验收</w:t>
            </w:r>
            <w:r>
              <w:rPr>
                <w:rFonts w:ascii="仿宋_GB2312" w:hAnsi="仿宋_GB2312" w:cs="仿宋_GB2312" w:eastAsia="仿宋_GB2312"/>
                <w:sz w:val="21"/>
                <w:b/>
              </w:rPr>
              <w:t>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1）质量标准：成果资料及配套服务达到国家及行业验收合格标准。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2）验收标准：按招标文件、投标文件及澄清函、项目检查情况等综合指标进行验收。各项指标均应符合验收标准及要求。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满足本项目建设需要</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成果通过相关部门验收或专家技术评审后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提交全部正式成果后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政府采购评审中出现下列情形之一的，评审委员会应当启动异常低价投标(响应)审查 程序: 1.投标(响应)报价低于全部通过符合性审查供应商投标(响应)报价平均值60%的，即投标(响应)报价〈全部通过符合性审查供应商投标(响应)报价平均值X60%; 2.投标(响应)报价低于通过符合性审查的次低报价供应商投标(响应)报价60%的，即投标(响应)报价〈通过符合性审查的次低报价供应商投标(响应)报价X60%; 3.投标(响应)报价低于采购项目最高限价60%的，即投标(响应)报价〈采购项日最高限价X60%; 4.评审委员会基于专业判断，认为供应商报价过低，有可能影响产品质量或者不能诚信履约的其他情形。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政府采购供应商拒绝政府采购领域商业贿赂承诺书.pdf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供应商须具备行政主管部门颁发的城乡规划（国土空间规划）编制甲级资质；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法定代表人直接参加投标的，须提供法定代表人身份证明及其身份证扫描件；法定代表人授权他人参加投标的，须提供法定代表人身份证明及法定代表人授权委托书；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政府采购供应商拒绝政府采购领域商业贿赂承诺书.pdf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政府采购供应商拒绝政府采购领域商业贿赂承诺书.pdf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单位负责人为同一人或者存在直接控股、管理关系的不同投标人，不得同时参加同一合同项下的政府采购活动；</w:t>
            </w:r>
          </w:p>
        </w:tc>
        <w:tc>
          <w:tcPr>
            <w:tcW w:type="dxa" w:w="1661"/>
          </w:tcPr>
          <w:p>
            <w:pPr>
              <w:pStyle w:val="null3"/>
            </w:pPr>
            <w:r>
              <w:rPr>
                <w:rFonts w:ascii="仿宋_GB2312" w:hAnsi="仿宋_GB2312" w:cs="仿宋_GB2312" w:eastAsia="仿宋_GB2312"/>
              </w:rPr>
              <w:t>政府采购供应商拒绝政府采购领域商业贿赂承诺书.pdf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政府采购供应商拒绝政府采购领域商业贿赂承诺书.pdf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投标人认为需要提供的其他资料.pdf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投标文件按招标文件要求进行签署、盖章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报价唯一且未超过本项目最高限价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商务应答表.pdf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对服务和商务要求响应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商务应答表.pdf 服务内容及服务要求应答表.pdf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提供的内容包括但不限于以下内容：①项目背景分析;②项目前期发展情况;③项目前期问题和薄弱环节，分析渭南市“十四五”住房和城乡建设事业发展规划实施过程中难点问题和薄弱环节，科学设定渭南市“十五五”住房和城乡建设事业发展规划目标和具体指标，针对性地提出可行性方案。 每项方案内容描述完整、节点明确、切实可行得4 分，满分12 分。每有一处不合理扣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项目理解与分析.pdf</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提供的项目实施进度计划包括但不限于以下内容：①项目推进实施进度方案；②进度保障措施；③工作阶段任务划分。 每项方案内容描述完整、节点明确、切实可行得4 分，满分12 分。每有一处不合理扣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项目实施进度计划.pdf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服务方案包括但不限于以下内容：①分析面临的机遇、挑战及发展趋势；②发展的指导思想和发展目标、指标；③发展主要任务和实施策略；④重点任务和重大举措。 每项方案内容描述完整、节点明确、切实可行得3 分，满分12分。每有一处不合理扣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服务承诺及合理化建议方案内容应包括但不限于以下内容：①积极配合采购人服务要求；②服务承诺；③合理化建议等。 每项方案内容描述完整、节点明确、切实可行得4 分，满分12 分。每有一处不合理扣0.5分；扣完为止。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服务承诺及合理化建议.pdf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质量保证措施包括但不限于以下内容：①质量目标；②质量保障措施；③成果文件质量控制措施。 每项方案内容描述完整、节点明确、切实可行得4分，满分12分。每有一处不 合理扣 0.5分；扣完为止。 （不合理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质量保障措施.pdf</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1、拟派项目负责人具有国家注册城乡规划师并具有城乡规划类相关专业高级或以上职称得5分； 2、拟派项目技术团队成员中(不含项目负责人)具有国家注册城乡规划师或城乡规划类相关专业高级或以上职称的，每提供一个得2分；具有城乡规划类相关专业中级职称的，每提供一个得0.5分。 本项共12分。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项目组织机构.pdf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供应商具有2023年至今承担过（以合同签订时间为准）的类似项目业绩，每提供一个计4分，满分8分；未提供不得分。 注：类似项目业绩以投标文件中提供加盖投标人公章的合同扫描件或复印件为准。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满足招标文件要求且投标总报价最低的投标人的价格为评标基准价，其价格分为满分20分，其他各投标人的投标报价得分按下列公式计算：投标报价得分=（投标基准价/投标报价）×20%×100。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详见附件：投标保证金.pdf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详见附件：投标人认为需要提供的其他资料.pdf</w:t>
      </w:r>
    </w:p>
    <w:p>
      <w:pPr>
        <w:pStyle w:val="null3"/>
        <w:ind w:firstLine="960"/>
      </w:pPr>
      <w:r>
        <w:rPr>
          <w:rFonts w:ascii="仿宋_GB2312" w:hAnsi="仿宋_GB2312" w:cs="仿宋_GB2312" w:eastAsia="仿宋_GB2312"/>
        </w:rPr>
        <w:t>详见附件：项目理解与分析.pdf</w:t>
      </w:r>
    </w:p>
    <w:p>
      <w:pPr>
        <w:pStyle w:val="null3"/>
        <w:ind w:firstLine="960"/>
      </w:pPr>
      <w:r>
        <w:rPr>
          <w:rFonts w:ascii="仿宋_GB2312" w:hAnsi="仿宋_GB2312" w:cs="仿宋_GB2312" w:eastAsia="仿宋_GB2312"/>
        </w:rPr>
        <w:t>详见附件：项目实施进度计划.pdf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详见附件：服务承诺及合理化建议.pdf</w:t>
      </w:r>
    </w:p>
    <w:p>
      <w:pPr>
        <w:pStyle w:val="null3"/>
        <w:ind w:firstLine="960"/>
      </w:pPr>
      <w:r>
        <w:rPr>
          <w:rFonts w:ascii="仿宋_GB2312" w:hAnsi="仿宋_GB2312" w:cs="仿宋_GB2312" w:eastAsia="仿宋_GB2312"/>
        </w:rPr>
        <w:t>详见附件：质量保障措施.pdf</w:t>
      </w:r>
    </w:p>
    <w:p>
      <w:pPr>
        <w:pStyle w:val="null3"/>
        <w:ind w:firstLine="960"/>
      </w:pPr>
      <w:r>
        <w:rPr>
          <w:rFonts w:ascii="仿宋_GB2312" w:hAnsi="仿宋_GB2312" w:cs="仿宋_GB2312" w:eastAsia="仿宋_GB2312"/>
        </w:rPr>
        <w:t>详见附件：项目组织机构.pdf</w:t>
      </w:r>
    </w:p>
    <w:p>
      <w:pPr>
        <w:pStyle w:val="null3"/>
        <w:ind w:firstLine="960"/>
      </w:pPr>
      <w:r>
        <w:rPr>
          <w:rFonts w:ascii="仿宋_GB2312" w:hAnsi="仿宋_GB2312" w:cs="仿宋_GB2312" w:eastAsia="仿宋_GB2312"/>
        </w:rPr>
        <w:t>详见附件：类似项目业绩表.pdf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