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版本号：SXTW-2026-020320260203001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农村既有建筑能效提升调研及技术报告编制项目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SXTW-2026-0203</w:t>
      </w:r>
      <w:r>
        <w:br/>
      </w:r>
      <w:r>
        <w:br/>
      </w:r>
      <w:r>
        <w:br/>
      </w:r>
    </w:p>
    <w:p>
      <w:pPr>
        <w:pStyle w:val="null3"/>
        <w:jc w:val="center"/>
        <w:outlineLvl w:val="2"/>
      </w:pPr>
      <w:r>
        <w:rPr>
          <w:rFonts w:ascii="仿宋_GB2312" w:hAnsi="仿宋_GB2312" w:cs="仿宋_GB2312" w:eastAsia="仿宋_GB2312"/>
          <w:sz w:val="28"/>
          <w:b/>
        </w:rPr>
        <w:t>渭南市住房和城乡建设局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渭南市住房和城乡建设局</w:t>
      </w:r>
      <w:r>
        <w:rPr>
          <w:rFonts w:ascii="仿宋_GB2312" w:hAnsi="仿宋_GB2312" w:cs="仿宋_GB2312" w:eastAsia="仿宋_GB2312"/>
        </w:rPr>
        <w:t>委托，拟对</w:t>
      </w:r>
      <w:r>
        <w:rPr>
          <w:rFonts w:ascii="仿宋_GB2312" w:hAnsi="仿宋_GB2312" w:cs="仿宋_GB2312" w:eastAsia="仿宋_GB2312"/>
        </w:rPr>
        <w:t>农村既有建筑能效提升调研及技术报告编制项目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SXTW-2026-0203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农村既有建筑能效提升调研及技术报告编制项目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摸清建筑能效底数，提出贴合农村实际的提升技术方案，为后续保护环境、降低能源费用、提高生活质量和促进节能减排等方面提供科学依据，助力节能降碳。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采购包1（农村既有建筑能效提升调研及技术报告编制项目）：属于专门面向中小企业采购。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具有财务审计资质单位出具的2024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3、社保缴纳证明：提供递交磋商文件截止之日前一年内任意一个月的社会保障资金缴存单据或社保机构开具的社会保险参保缴费情况证明；依法不需要缴纳社会保障资金的供应商应提供相关证明文件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磋商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5、书面声明：提供具有履行本合同所必需的设备和专业技术能力的说明及承诺；</w:t>
      </w:r>
    </w:p>
    <w:p>
      <w:pPr>
        <w:pStyle w:val="null3"/>
      </w:pPr>
      <w:r>
        <w:rPr>
          <w:rFonts w:ascii="仿宋_GB2312" w:hAnsi="仿宋_GB2312" w:cs="仿宋_GB2312" w:eastAsia="仿宋_GB2312"/>
        </w:rPr>
        <w:t>6、无重大违法、违纪书面声明：参加政府采购活动前三年内在经营活动中无重大违法记录的书面声明；</w:t>
      </w:r>
    </w:p>
    <w:p>
      <w:pPr>
        <w:pStyle w:val="null3"/>
      </w:pPr>
      <w:r>
        <w:rPr>
          <w:rFonts w:ascii="仿宋_GB2312" w:hAnsi="仿宋_GB2312" w:cs="仿宋_GB2312" w:eastAsia="仿宋_GB2312"/>
        </w:rPr>
        <w:t>7、信用记录：供应商不得为“信用中国”网站（www.creditchi na.gov.cn）中列入重大税收违法失信主体的供应商；不得为“中国执行信息公开网”（https://zxgk.court.gov.cn）中列入失信被执行人名单的供应商；不得为“中国政府采购网”（www.cc gp.gov.cn）政府采购严重违法失信行为记录名单中被财政部门禁止参加政府采购活动的供应商；</w:t>
      </w:r>
    </w:p>
    <w:p>
      <w:pPr>
        <w:pStyle w:val="null3"/>
      </w:pPr>
      <w:r>
        <w:rPr>
          <w:rFonts w:ascii="仿宋_GB2312" w:hAnsi="仿宋_GB2312" w:cs="仿宋_GB2312" w:eastAsia="仿宋_GB2312"/>
        </w:rPr>
        <w:t>8、控股管理关系：单位负责人为同一人或者存在直接控股、管理关系的不同供应商，不得同时参加同一合同项下的政府采购活动。</w:t>
      </w:r>
    </w:p>
    <w:p>
      <w:pPr>
        <w:pStyle w:val="null3"/>
      </w:pPr>
      <w:r>
        <w:rPr>
          <w:rFonts w:ascii="仿宋_GB2312" w:hAnsi="仿宋_GB2312" w:cs="仿宋_GB2312" w:eastAsia="仿宋_GB2312"/>
        </w:rPr>
        <w:t>9、法定代表人授权委托书：供应商应授权合法的人员参加投标全过程,其中法定代表人或其他组织负责人直接参加投标的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10、不接受联合体磋商：提供非联合体声明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0913-2930538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高宇姣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关于进一步放开建设项目专业服务价格的通知》（发改价格〔2015〕299号），参考《国家计委关于印发&lt;招标代理服务收费管理暂行办法&gt;的通知》（计价格)〔2002〕1980号文件规定的计费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渭南市住房和城乡建设局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联系人：高宇姣</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摸清建筑能效底数，提出贴合农村实际的提升技术方案，为后续保护环境、降低能源费用、提高生活质量和促进节能减排等方面提供科学依据，助力节能降碳。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农村既有建筑能效提升调研及技术报告编制项目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标的名称：农村既有建筑能效提升调研及技术报告编制项目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.服务内容</w:t>
            </w:r>
            <w:r>
              <w:rPr>
                <w:rFonts w:ascii="仿宋_GB2312" w:hAnsi="仿宋_GB2312" w:cs="仿宋_GB2312" w:eastAsia="仿宋_GB2312"/>
                <w:sz w:val="20"/>
                <w:b/>
              </w:rPr>
              <w:t>：</w:t>
            </w:r>
          </w:p>
          <w:p>
            <w:pPr>
              <w:pStyle w:val="null3"/>
              <w:jc w:val="both"/>
            </w:pPr>
            <w:r>
              <w:rPr>
                <w:rFonts w:ascii="仿宋_GB2312" w:hAnsi="仿宋_GB2312" w:cs="仿宋_GB2312" w:eastAsia="仿宋_GB2312"/>
                <w:sz w:val="20"/>
              </w:rPr>
              <w:t>(1)对渭南市农村既有建筑的空间布局、结构形式、采暖情况进行深入的调查研究，形成渭南市农村既有建筑能效实态调研报告；</w:t>
            </w:r>
          </w:p>
          <w:p>
            <w:pPr>
              <w:pStyle w:val="null3"/>
              <w:jc w:val="both"/>
            </w:pPr>
            <w:r>
              <w:rPr>
                <w:rFonts w:ascii="仿宋_GB2312" w:hAnsi="仿宋_GB2312" w:cs="仿宋_GB2312" w:eastAsia="仿宋_GB2312"/>
                <w:sz w:val="20"/>
              </w:rPr>
              <w:t>(2)对存在的问题进行分析并提出相应的建议及保证措施；</w:t>
            </w:r>
          </w:p>
          <w:p>
            <w:pPr>
              <w:pStyle w:val="null3"/>
              <w:jc w:val="both"/>
            </w:pPr>
            <w:r>
              <w:rPr>
                <w:rFonts w:ascii="仿宋_GB2312" w:hAnsi="仿宋_GB2312" w:cs="仿宋_GB2312" w:eastAsia="仿宋_GB2312"/>
                <w:sz w:val="20"/>
              </w:rPr>
              <w:t>(3)编制农村既有建筑能效提升技术报告。</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服务范围</w:t>
            </w:r>
            <w:r>
              <w:rPr>
                <w:rFonts w:ascii="仿宋_GB2312" w:hAnsi="仿宋_GB2312" w:cs="仿宋_GB2312" w:eastAsia="仿宋_GB2312"/>
                <w:sz w:val="20"/>
              </w:rPr>
              <w:t>：渭南市</w:t>
            </w:r>
          </w:p>
          <w:p>
            <w:pPr>
              <w:pStyle w:val="null3"/>
            </w:pPr>
            <w:r>
              <w:rPr>
                <w:rFonts w:ascii="仿宋_GB2312" w:hAnsi="仿宋_GB2312" w:cs="仿宋_GB2312" w:eastAsia="仿宋_GB2312"/>
                <w:sz w:val="20"/>
                <w:b/>
              </w:rPr>
              <w:t>3.服务期限：</w:t>
            </w:r>
            <w:r>
              <w:rPr>
                <w:rFonts w:ascii="仿宋_GB2312" w:hAnsi="仿宋_GB2312" w:cs="仿宋_GB2312" w:eastAsia="仿宋_GB2312"/>
              </w:rPr>
              <w:t>自合同签订之日起</w:t>
            </w:r>
            <w:r>
              <w:rPr>
                <w:rFonts w:ascii="仿宋_GB2312" w:hAnsi="仿宋_GB2312" w:cs="仿宋_GB2312" w:eastAsia="仿宋_GB2312"/>
              </w:rPr>
              <w:t>30</w:t>
            </w:r>
            <w:r>
              <w:rPr>
                <w:rFonts w:ascii="仿宋_GB2312" w:hAnsi="仿宋_GB2312" w:cs="仿宋_GB2312" w:eastAsia="仿宋_GB2312"/>
              </w:rPr>
              <w:t>日历天</w:t>
            </w:r>
          </w:p>
          <w:p>
            <w:pPr>
              <w:pStyle w:val="null3"/>
              <w:jc w:val="both"/>
            </w:pPr>
            <w:r>
              <w:rPr>
                <w:rFonts w:ascii="仿宋_GB2312" w:hAnsi="仿宋_GB2312" w:cs="仿宋_GB2312" w:eastAsia="仿宋_GB2312"/>
                <w:sz w:val="20"/>
                <w:b/>
              </w:rPr>
              <w:t>4.成果资料:</w:t>
            </w:r>
            <w:r>
              <w:rPr>
                <w:rFonts w:ascii="仿宋_GB2312" w:hAnsi="仿宋_GB2312" w:cs="仿宋_GB2312" w:eastAsia="仿宋_GB2312"/>
                <w:sz w:val="20"/>
              </w:rPr>
              <w:t>电子成果资料</w:t>
            </w:r>
            <w:r>
              <w:rPr>
                <w:rFonts w:ascii="仿宋_GB2312" w:hAnsi="仿宋_GB2312" w:cs="仿宋_GB2312" w:eastAsia="仿宋_GB2312"/>
                <w:sz w:val="20"/>
              </w:rPr>
              <w:t>1套，纸质成果资料3套。</w:t>
            </w:r>
          </w:p>
          <w:p>
            <w:pPr>
              <w:pStyle w:val="null3"/>
              <w:jc w:val="both"/>
            </w:pPr>
            <w:r>
              <w:rPr>
                <w:rFonts w:ascii="仿宋_GB2312" w:hAnsi="仿宋_GB2312" w:cs="仿宋_GB2312" w:eastAsia="仿宋_GB2312"/>
                <w:sz w:val="20"/>
                <w:b/>
              </w:rPr>
              <w:t>5.验收标准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1）.质量标准：成果资料及配套服务达到国家及行业验收合格标准。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2）.验收标准：按采购文件、响应文件及澄清函、项目检查情况等综合指标进行验收。各项指标均应符合验收标准及要求。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满足陕西省住建厅 陕西省市场监管局《农村既有居住建筑能效提升技术导则》及现行法律法规要求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实施方案成果提交后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营业执照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审计报告（若成立时间至磋商文件递交截止时间前不足一年的可提供成立后任意时段的资产负债表）或磋商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提供递交磋商文件截止之日前一年内任意一个月的社会保障资金缴存单据或社保机构开具的社会保险参保缴费情况证明；依法不需要缴纳社会保障资金的供应商应提供相关证明文件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之日前一年内任意一个月的依法缴纳税收的相关凭据（时间以税款所属日期为准、增值税、企业所得税至少提供一种），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无重大违法、违纪书面声明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 na.gov.cn）中列入重大税收违法失信主体的供应商；不得为“中国执行信息公开网”（https://zxgk.court.gov.cn）中列入失信被执行人名单的供应商；不得为“中国政府采购网”（www.cc 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 , 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政府采购供应商拒绝政府采购领域商业贿赂承诺书.pdf 标的清单 报价表 供应商认为需要提供的其他资料.pdf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响应文件按照磋商文件要求进行签署、盖章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 xml:space="preserve"> 自合同签订之日起30日历天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完全理解并接受磋商文件的约束</w:t>
            </w:r>
          </w:p>
        </w:tc>
        <w:tc>
          <w:tcPr>
            <w:tcW w:type="dxa" w:w="1661"/>
          </w:tcPr>
          <w:p>
            <w:pPr>
              <w:pStyle w:val="null3"/>
            </w:pPr>
            <w:r>
              <w:rPr>
                <w:rFonts w:ascii="仿宋_GB2312" w:hAnsi="仿宋_GB2312" w:cs="仿宋_GB2312" w:eastAsia="仿宋_GB2312"/>
              </w:rPr>
              <w:t>商务应答表.pdf 服务内容及服务要求应答表.pdf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对项目的理解及认识、重点、难点的分析</w:t>
            </w:r>
          </w:p>
        </w:tc>
        <w:tc>
          <w:tcPr>
            <w:tcW w:type="dxa" w:w="2492"/>
          </w:tcPr>
          <w:p>
            <w:pPr>
              <w:pStyle w:val="null3"/>
            </w:pPr>
            <w:r>
              <w:rPr>
                <w:rFonts w:ascii="仿宋_GB2312" w:hAnsi="仿宋_GB2312" w:cs="仿宋_GB2312" w:eastAsia="仿宋_GB2312"/>
              </w:rPr>
              <w:t>一、评审内容：对项目的理解及认识、重点、难点的分析包括但不限于：①项目的背景；②内容及理解；③成果要求；④技术路线；⑤项目重点、难点分析及应对措施。 二、评审标准：各个部分内容全面、合理、逻辑清晰、阐述条理清晰且描述详细符合本项目采购需求有针对性，以上5项，以序号①、②、③、④、⑤为项数，内容无缺项、无漏项且无缺陷的得15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对项目的理解及认识、重点、难点的分析.pdf</w:t>
            </w:r>
          </w:p>
        </w:tc>
      </w:tr>
      <w:tr>
        <w:tc>
          <w:tcPr>
            <w:tcW w:type="dxa" w:w="831"/>
            <w:vMerge/>
          </w:tcPr>
          <w:p/>
        </w:tc>
        <w:tc>
          <w:tcPr>
            <w:tcW w:type="dxa" w:w="1661"/>
          </w:tcPr>
          <w:p>
            <w:pPr>
              <w:pStyle w:val="null3"/>
            </w:pPr>
            <w:r>
              <w:rPr>
                <w:rFonts w:ascii="仿宋_GB2312" w:hAnsi="仿宋_GB2312" w:cs="仿宋_GB2312" w:eastAsia="仿宋_GB2312"/>
              </w:rPr>
              <w:t>服务实施总体方案</w:t>
            </w:r>
          </w:p>
        </w:tc>
        <w:tc>
          <w:tcPr>
            <w:tcW w:type="dxa" w:w="2492"/>
          </w:tcPr>
          <w:p>
            <w:pPr>
              <w:pStyle w:val="null3"/>
            </w:pPr>
            <w:r>
              <w:rPr>
                <w:rFonts w:ascii="仿宋_GB2312" w:hAnsi="仿宋_GB2312" w:cs="仿宋_GB2312" w:eastAsia="仿宋_GB2312"/>
              </w:rPr>
              <w:t>一、评审内容：提供基于项目总体分析的总体技术方案，包括但不限于：①总体实施计划；②针对不同区域的监测方法；③数据汇总；④各项内容所依据的行业技术规范与标准。 二、评审标准：提供详细、合理、科学可行的方案，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服务实施总体方案.pdf</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一、评审内容：针对本项目实施进度保证措施，包括但不限于：①进度计划安排；②组织协调措施；③实施进度保证措施。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实施进度保证措施.pdf</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一、评审内容：①服务质量目标及规划；②质量管理体系；③质量保证措施。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质量保证措施.pdf</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一、评审内容：针对本项目提供应急方案，包括但不限于：①紧急状况处理方式；②应急情况处理措施；③突发事件应急人员安排。 二、评审标准：提供详细、合理、科学可行的方案，方案符合本项目采购需求有针对性，以上3项，以序号①、②、③为项数，内容无缺项、无漏项且无缺陷的得6分，其中每有一项内容存在缺项或漏项的扣2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一、评审内容：服务承诺，包括但不限于：①服务质量的承诺；②出现问题响应时效的承诺；③配合采购人调整、完善方案的承诺。 二、评审标准：提供详细、合理、科学可行的方案，方案符合本项目采购需求有针对性，以上3项，以序号①、②、③为项数，内容无缺项、无漏项且无缺陷的得9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服务承诺pdf.pdf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1、拟派项目负责人具备相关专业高级职称得5分，中级职称的得3分； 2、项目组其他人员分工明确、责任明确，结构合理，具有相关专业中级及以上职称的得1分，最高得5分。 注：提供人员证明材料复印件及社保证明材料，加盖单位鲜章，否则不得分。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供应商提供近2023年1月至今类似项目业绩，每项业绩得5分，最高得10分。 注：业绩须提供合同复印件加盖供应商公章，时间以合同签订时间为准。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价格分统一采用低价优先法计算，即满足磋商文件要求且磋商价格最低的磋商报价为投标基准价，其价格分为满分。其他供应商的价格分统一按照下列公式计算： 磋商报价得分=(投标基准价／最终报价)×20 计算分数时四舍五入取小数点后两位 注：本项目专门面向中小企业，故不再进行价格分扣除。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详见附件：供应商认为需要提供的其他资料.pdf</w:t>
      </w:r>
    </w:p>
    <w:p>
      <w:pPr>
        <w:pStyle w:val="null3"/>
        <w:ind w:firstLine="960"/>
      </w:pPr>
      <w:r>
        <w:rPr>
          <w:rFonts w:ascii="仿宋_GB2312" w:hAnsi="仿宋_GB2312" w:cs="仿宋_GB2312" w:eastAsia="仿宋_GB2312"/>
        </w:rPr>
        <w:t>详见附件：对项目的理解及认识、重点、难点的分析.pdf</w:t>
      </w:r>
    </w:p>
    <w:p>
      <w:pPr>
        <w:pStyle w:val="null3"/>
        <w:ind w:firstLine="960"/>
      </w:pPr>
      <w:r>
        <w:rPr>
          <w:rFonts w:ascii="仿宋_GB2312" w:hAnsi="仿宋_GB2312" w:cs="仿宋_GB2312" w:eastAsia="仿宋_GB2312"/>
        </w:rPr>
        <w:t>详见附件：服务实施总体方案.pdf</w:t>
      </w:r>
    </w:p>
    <w:p>
      <w:pPr>
        <w:pStyle w:val="null3"/>
        <w:ind w:firstLine="960"/>
      </w:pPr>
      <w:r>
        <w:rPr>
          <w:rFonts w:ascii="仿宋_GB2312" w:hAnsi="仿宋_GB2312" w:cs="仿宋_GB2312" w:eastAsia="仿宋_GB2312"/>
        </w:rPr>
        <w:t>详见附件：实施进度保证措施.pdf</w:t>
      </w:r>
    </w:p>
    <w:p>
      <w:pPr>
        <w:pStyle w:val="null3"/>
        <w:ind w:firstLine="960"/>
      </w:pPr>
      <w:r>
        <w:rPr>
          <w:rFonts w:ascii="仿宋_GB2312" w:hAnsi="仿宋_GB2312" w:cs="仿宋_GB2312" w:eastAsia="仿宋_GB2312"/>
        </w:rPr>
        <w:t>详见附件：质量保证措施.pdf</w:t>
      </w:r>
    </w:p>
    <w:p>
      <w:pPr>
        <w:pStyle w:val="null3"/>
        <w:ind w:firstLine="960"/>
      </w:pPr>
      <w:r>
        <w:rPr>
          <w:rFonts w:ascii="仿宋_GB2312" w:hAnsi="仿宋_GB2312" w:cs="仿宋_GB2312" w:eastAsia="仿宋_GB2312"/>
        </w:rPr>
        <w:t>详见附件：服务承诺pdf.pdf</w:t>
      </w:r>
    </w:p>
    <w:p>
      <w:pPr>
        <w:pStyle w:val="null3"/>
        <w:ind w:firstLine="960"/>
      </w:pPr>
      <w:r>
        <w:rPr>
          <w:rFonts w:ascii="仿宋_GB2312" w:hAnsi="仿宋_GB2312" w:cs="仿宋_GB2312" w:eastAsia="仿宋_GB2312"/>
        </w:rPr>
        <w:t>详见附件：应急方案.pdf</w:t>
      </w:r>
    </w:p>
    <w:p>
      <w:pPr>
        <w:pStyle w:val="null3"/>
        <w:ind w:firstLine="960"/>
      </w:pPr>
      <w:r>
        <w:rPr>
          <w:rFonts w:ascii="仿宋_GB2312" w:hAnsi="仿宋_GB2312" w:cs="仿宋_GB2312" w:eastAsia="仿宋_GB2312"/>
        </w:rPr>
        <w:t>详见附件：人员配备.pdf</w:t>
      </w:r>
    </w:p>
    <w:p>
      <w:pPr>
        <w:pStyle w:val="null3"/>
        <w:ind w:firstLine="960"/>
      </w:pPr>
      <w:r>
        <w:rPr>
          <w:rFonts w:ascii="仿宋_GB2312" w:hAnsi="仿宋_GB2312" w:cs="仿宋_GB2312" w:eastAsia="仿宋_GB2312"/>
        </w:rPr>
        <w:t>详见附件：业绩表.pdf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