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版本号：SXTW-2026-020220260204001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编制口袋公园、慢行交通、无障碍设施等市政基础设施建设管护技术导则及指南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SXTW-2026-0202</w:t>
      </w:r>
      <w:r>
        <w:br/>
      </w:r>
      <w:r>
        <w:br/>
      </w:r>
      <w:r>
        <w:br/>
      </w:r>
    </w:p>
    <w:p>
      <w:pPr>
        <w:pStyle w:val="null3"/>
        <w:jc w:val="center"/>
        <w:outlineLvl w:val="2"/>
      </w:pPr>
      <w:r>
        <w:rPr>
          <w:rFonts w:ascii="仿宋_GB2312" w:hAnsi="仿宋_GB2312" w:cs="仿宋_GB2312" w:eastAsia="仿宋_GB2312"/>
          <w:sz w:val="28"/>
          <w:b/>
        </w:rPr>
        <w:t>渭南市住房和城乡建设局</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渭南市住房和城乡建设局</w:t>
      </w:r>
      <w:r>
        <w:rPr>
          <w:rFonts w:ascii="仿宋_GB2312" w:hAnsi="仿宋_GB2312" w:cs="仿宋_GB2312" w:eastAsia="仿宋_GB2312"/>
        </w:rPr>
        <w:t>委托，拟对</w:t>
      </w:r>
      <w:r>
        <w:rPr>
          <w:rFonts w:ascii="仿宋_GB2312" w:hAnsi="仿宋_GB2312" w:cs="仿宋_GB2312" w:eastAsia="仿宋_GB2312"/>
        </w:rPr>
        <w:t>编制口袋公园、慢行交通、无障碍设施等市政基础设施建设管护技术导则及指南</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SXTW-2026-0202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编制口袋公园、慢行交通、无障碍设施等市政基础设施建设管护技术导则及指南</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聚焦城市空间品质提升与民生需求，编制口袋公园、慢行交通、无障碍设施 3 项技术导则，明确规划设计、建设施工、运维管理全流程标准，为城市更新、公共服务设施完善提供技术依据，助力打造宜居便捷城市环境。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2、企业资质：供应商应具备行政主管部门颁发的城乡规划（国土空间规划）编制甲级资质；</w:t>
      </w:r>
    </w:p>
    <w:p>
      <w:pPr>
        <w:pStyle w:val="null3"/>
      </w:pPr>
      <w:r>
        <w:rPr>
          <w:rFonts w:ascii="仿宋_GB2312" w:hAnsi="仿宋_GB2312" w:cs="仿宋_GB2312" w:eastAsia="仿宋_GB2312"/>
        </w:rPr>
        <w:t>3、法定代表人授权书/法定代表人身份证明书：法定代表人直接参加投标的，须提供法定代表人身份证明及其身份证扫描件；法定代表人授权他人参加投标的，须提供法定代表人身份证明及法定代表人授权委托书；</w:t>
      </w:r>
    </w:p>
    <w:p>
      <w:pPr>
        <w:pStyle w:val="null3"/>
      </w:pPr>
      <w:r>
        <w:rPr>
          <w:rFonts w:ascii="仿宋_GB2312" w:hAnsi="仿宋_GB2312" w:cs="仿宋_GB2312" w:eastAsia="仿宋_GB2312"/>
        </w:rPr>
        <w:t>4、财务状况报告：提供具有财务审计资质单位出具的2024年度财务审计报告（若成立时间至响应文件递交截止时间前不足一年的可提供成立后任意时段的资产负债表）或响应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7、具有履行合同的声明：提供具有履行本合同所必需的设备和专业技术能力的说明及承诺；</w:t>
      </w:r>
    </w:p>
    <w:p>
      <w:pPr>
        <w:pStyle w:val="null3"/>
      </w:pPr>
      <w:r>
        <w:rPr>
          <w:rFonts w:ascii="仿宋_GB2312" w:hAnsi="仿宋_GB2312" w:cs="仿宋_GB2312" w:eastAsia="仿宋_GB2312"/>
        </w:rPr>
        <w:t>8、无重大违法记录书面声明：参加政府采购活动前三年内在经营活动中无重大违法记录的书面声明；</w:t>
      </w:r>
    </w:p>
    <w:p>
      <w:pPr>
        <w:pStyle w:val="null3"/>
      </w:pPr>
      <w:r>
        <w:rPr>
          <w:rFonts w:ascii="仿宋_GB2312" w:hAnsi="仿宋_GB2312" w:cs="仿宋_GB2312" w:eastAsia="仿宋_GB2312"/>
        </w:rPr>
        <w:t>9、信誉信息：投标人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10、无控股、管理承诺：单位负责人为同一人或者存在直接控股、管理关系的不同供应商，不得同时参加同一合同项下的政府采购活动；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11、不接受联合体磋商：提供非联合体声明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王云飞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0913-2930538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高宇姣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国家发展改革委关于进一步放开建设项目专业服务价格的通知》（发改价格﹝2015﹞299号）的要求，参照《国家计委关于印发&lt;招标代理服务收费管理暂行办法&gt;的通知》（计价格〔2002〕1980号）文件规定的计费标准计取。 2.由中标单位在领取中标通知书前，须向采购代理机构一次性支付招标代理服务费。 3.采购代理服务费账户 户 名：陕西侗伟项目管理有限公司 账 号：6105 0164 1400 0000 0348 开户银行：中国建设银行股份有限公司渭南胜利大街支行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渭南市住房和城乡建设局</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联系人：高宇姣</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地址：渭南市临渭区胜利大街与前进路十字西200米路南雅馨花园C座C08</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聚焦城市空间品质提升与民生需求，编制口袋公园、慢行交通、无障碍设施 3 项技术导则，明确规划设计、建设施工、运维管理全流程标准，为城市更新、公共服务设施完善提供技术依据，助力打造宜居便捷城市环境。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编制口袋公园 慢行交通 无障碍设施等市政基础设施建设管护技术导则及指南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标的名称：编制口袋公园 慢行交通 无障碍设施等市政基础设施建设管护技术导则及指南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一、需执行的国家相关标准、行业标准、地方标准或者其他标准</w:t>
            </w:r>
          </w:p>
          <w:p>
            <w:pPr>
              <w:pStyle w:val="null3"/>
              <w:jc w:val="both"/>
            </w:pPr>
            <w:r>
              <w:rPr>
                <w:rFonts w:ascii="仿宋_GB2312" w:hAnsi="仿宋_GB2312" w:cs="仿宋_GB2312" w:eastAsia="仿宋_GB2312"/>
              </w:rPr>
              <w:t>1.《渭南市口袋公园建设指南》</w:t>
            </w:r>
          </w:p>
          <w:p>
            <w:pPr>
              <w:pStyle w:val="null3"/>
              <w:jc w:val="both"/>
            </w:pPr>
            <w:r>
              <w:rPr>
                <w:rFonts w:ascii="仿宋_GB2312" w:hAnsi="仿宋_GB2312" w:cs="仿宋_GB2312" w:eastAsia="仿宋_GB2312"/>
              </w:rPr>
              <w:t>（1）《公园设计规范》GB 51192</w:t>
            </w:r>
          </w:p>
          <w:p>
            <w:pPr>
              <w:pStyle w:val="null3"/>
              <w:jc w:val="both"/>
            </w:pPr>
            <w:r>
              <w:rPr>
                <w:rFonts w:ascii="仿宋_GB2312" w:hAnsi="仿宋_GB2312" w:cs="仿宋_GB2312" w:eastAsia="仿宋_GB2312"/>
              </w:rPr>
              <w:t>（2）《无障碍设计规范》GB 50763</w:t>
            </w:r>
          </w:p>
          <w:p>
            <w:pPr>
              <w:pStyle w:val="null3"/>
              <w:jc w:val="both"/>
            </w:pPr>
            <w:r>
              <w:rPr>
                <w:rFonts w:ascii="仿宋_GB2312" w:hAnsi="仿宋_GB2312" w:cs="仿宋_GB2312" w:eastAsia="仿宋_GB2312"/>
              </w:rPr>
              <w:t>（3）《园林绿化养护标准》CJJ/T 287</w:t>
            </w:r>
          </w:p>
          <w:p>
            <w:pPr>
              <w:pStyle w:val="null3"/>
              <w:jc w:val="both"/>
            </w:pPr>
            <w:r>
              <w:rPr>
                <w:rFonts w:ascii="仿宋_GB2312" w:hAnsi="仿宋_GB2312" w:cs="仿宋_GB2312" w:eastAsia="仿宋_GB2312"/>
              </w:rPr>
              <w:t>（4）《口袋公园建设指南（试行）》（建办城函〔2024〕214号）</w:t>
            </w:r>
          </w:p>
          <w:p>
            <w:pPr>
              <w:pStyle w:val="null3"/>
              <w:jc w:val="both"/>
            </w:pPr>
            <w:r>
              <w:rPr>
                <w:rFonts w:ascii="仿宋_GB2312" w:hAnsi="仿宋_GB2312" w:cs="仿宋_GB2312" w:eastAsia="仿宋_GB2312"/>
              </w:rPr>
              <w:t>2.《渭南市慢行交通系统设计导则》</w:t>
            </w:r>
          </w:p>
          <w:p>
            <w:pPr>
              <w:pStyle w:val="null3"/>
              <w:jc w:val="both"/>
            </w:pPr>
            <w:r>
              <w:rPr>
                <w:rFonts w:ascii="仿宋_GB2312" w:hAnsi="仿宋_GB2312" w:cs="仿宋_GB2312" w:eastAsia="仿宋_GB2312"/>
              </w:rPr>
              <w:t>（1）《城市步行和自行车交通系统规划标准》GB/T51439-2021</w:t>
            </w:r>
          </w:p>
          <w:p>
            <w:pPr>
              <w:pStyle w:val="null3"/>
              <w:jc w:val="both"/>
            </w:pPr>
            <w:r>
              <w:rPr>
                <w:rFonts w:ascii="仿宋_GB2312" w:hAnsi="仿宋_GB2312" w:cs="仿宋_GB2312" w:eastAsia="仿宋_GB2312"/>
              </w:rPr>
              <w:t>（2）《街道设计标准》DG/TJ08-2293-2019</w:t>
            </w:r>
          </w:p>
          <w:p>
            <w:pPr>
              <w:pStyle w:val="null3"/>
              <w:jc w:val="both"/>
            </w:pPr>
            <w:r>
              <w:rPr>
                <w:rFonts w:ascii="仿宋_GB2312" w:hAnsi="仿宋_GB2312" w:cs="仿宋_GB2312" w:eastAsia="仿宋_GB2312"/>
              </w:rPr>
              <w:t>（3）《城市综合交通体系规划标准》GB/T51328-2018</w:t>
            </w:r>
          </w:p>
          <w:p>
            <w:pPr>
              <w:pStyle w:val="null3"/>
              <w:jc w:val="both"/>
            </w:pPr>
            <w:r>
              <w:rPr>
                <w:rFonts w:ascii="仿宋_GB2312" w:hAnsi="仿宋_GB2312" w:cs="仿宋_GB2312" w:eastAsia="仿宋_GB2312"/>
              </w:rPr>
              <w:t>（4）《城市轨道交通导向标识系统设计规范》DB31T1104-2018</w:t>
            </w:r>
          </w:p>
          <w:p>
            <w:pPr>
              <w:pStyle w:val="null3"/>
              <w:jc w:val="both"/>
            </w:pPr>
            <w:r>
              <w:rPr>
                <w:rFonts w:ascii="仿宋_GB2312" w:hAnsi="仿宋_GB2312" w:cs="仿宋_GB2312" w:eastAsia="仿宋_GB2312"/>
              </w:rPr>
              <w:t>（5）《道路公共服务设施指示标志技术标准》DG/TJ08-2228-2017</w:t>
            </w:r>
          </w:p>
          <w:p>
            <w:pPr>
              <w:pStyle w:val="null3"/>
              <w:jc w:val="both"/>
            </w:pPr>
            <w:r>
              <w:rPr>
                <w:rFonts w:ascii="仿宋_GB2312" w:hAnsi="仿宋_GB2312" w:cs="仿宋_GB2312" w:eastAsia="仿宋_GB2312"/>
              </w:rPr>
              <w:t>（6）《城市道路工程设计规范》CJJ37-2012(2016版)</w:t>
            </w:r>
          </w:p>
          <w:p>
            <w:pPr>
              <w:pStyle w:val="null3"/>
              <w:jc w:val="both"/>
            </w:pPr>
            <w:r>
              <w:rPr>
                <w:rFonts w:ascii="仿宋_GB2312" w:hAnsi="仿宋_GB2312" w:cs="仿宋_GB2312" w:eastAsia="仿宋_GB2312"/>
              </w:rPr>
              <w:t>（7）《无障碍设计规范》 GB 50763-2012</w:t>
            </w:r>
          </w:p>
          <w:p>
            <w:pPr>
              <w:pStyle w:val="null3"/>
              <w:jc w:val="both"/>
            </w:pPr>
            <w:r>
              <w:rPr>
                <w:rFonts w:ascii="仿宋_GB2312" w:hAnsi="仿宋_GB2312" w:cs="仿宋_GB2312" w:eastAsia="仿宋_GB2312"/>
              </w:rPr>
              <w:t>（8）《城市道路人行道设施设置技术要求》DB/T415-2008</w:t>
            </w:r>
          </w:p>
          <w:p>
            <w:pPr>
              <w:pStyle w:val="null3"/>
              <w:jc w:val="both"/>
            </w:pPr>
            <w:r>
              <w:rPr>
                <w:rFonts w:ascii="仿宋_GB2312" w:hAnsi="仿宋_GB2312" w:cs="仿宋_GB2312" w:eastAsia="仿宋_GB2312"/>
              </w:rPr>
              <w:t>3.《渭南市无障碍设施建设指南》</w:t>
            </w:r>
          </w:p>
          <w:p>
            <w:pPr>
              <w:pStyle w:val="null3"/>
              <w:jc w:val="both"/>
            </w:pPr>
            <w:r>
              <w:rPr>
                <w:rFonts w:ascii="仿宋_GB2312" w:hAnsi="仿宋_GB2312" w:cs="仿宋_GB2312" w:eastAsia="仿宋_GB2312"/>
              </w:rPr>
              <w:t>（1）《无障碍设计规范》GB 50763-2012</w:t>
            </w:r>
          </w:p>
          <w:p>
            <w:pPr>
              <w:pStyle w:val="null3"/>
              <w:jc w:val="both"/>
            </w:pPr>
            <w:r>
              <w:rPr>
                <w:rFonts w:ascii="仿宋_GB2312" w:hAnsi="仿宋_GB2312" w:cs="仿宋_GB2312" w:eastAsia="仿宋_GB2312"/>
              </w:rPr>
              <w:t>（2）《建筑与市政工程无障碍通用规范》GB 51202-2022</w:t>
            </w:r>
          </w:p>
          <w:p>
            <w:pPr>
              <w:pStyle w:val="null3"/>
              <w:jc w:val="both"/>
            </w:pPr>
            <w:r>
              <w:rPr>
                <w:rFonts w:ascii="仿宋_GB2312" w:hAnsi="仿宋_GB2312" w:cs="仿宋_GB2312" w:eastAsia="仿宋_GB2312"/>
              </w:rPr>
              <w:t>（3）《无障碍设施施工验收及维护规范》GB 50642-2011</w:t>
            </w:r>
          </w:p>
          <w:p>
            <w:pPr>
              <w:pStyle w:val="null3"/>
              <w:jc w:val="both"/>
            </w:pPr>
            <w:r>
              <w:rPr>
                <w:rFonts w:ascii="仿宋_GB2312" w:hAnsi="仿宋_GB2312" w:cs="仿宋_GB2312" w:eastAsia="仿宋_GB2312"/>
              </w:rPr>
              <w:t>4.国家其他相关法律、法规及规定。</w:t>
            </w:r>
          </w:p>
          <w:p>
            <w:pPr>
              <w:pStyle w:val="null3"/>
              <w:jc w:val="both"/>
            </w:pPr>
            <w:r>
              <w:rPr>
                <w:rFonts w:ascii="仿宋_GB2312" w:hAnsi="仿宋_GB2312" w:cs="仿宋_GB2312" w:eastAsia="仿宋_GB2312"/>
                <w:b/>
              </w:rPr>
              <w:t>二、服务指标的具体要求</w:t>
            </w:r>
          </w:p>
          <w:p>
            <w:pPr>
              <w:pStyle w:val="null3"/>
              <w:jc w:val="both"/>
            </w:pPr>
            <w:r>
              <w:rPr>
                <w:rFonts w:ascii="仿宋_GB2312" w:hAnsi="仿宋_GB2312" w:cs="仿宋_GB2312" w:eastAsia="仿宋_GB2312"/>
              </w:rPr>
              <w:t>1.服务内容</w:t>
            </w:r>
          </w:p>
          <w:p>
            <w:pPr>
              <w:pStyle w:val="null3"/>
              <w:jc w:val="both"/>
            </w:pPr>
            <w:r>
              <w:rPr>
                <w:rFonts w:ascii="仿宋_GB2312" w:hAnsi="仿宋_GB2312" w:cs="仿宋_GB2312" w:eastAsia="仿宋_GB2312"/>
              </w:rPr>
              <w:t>（1）《渭南市口袋公园建设指南》</w:t>
            </w:r>
          </w:p>
          <w:p>
            <w:pPr>
              <w:pStyle w:val="null3"/>
              <w:jc w:val="both"/>
            </w:pPr>
            <w:r>
              <w:rPr>
                <w:rFonts w:ascii="仿宋_GB2312" w:hAnsi="仿宋_GB2312" w:cs="仿宋_GB2312" w:eastAsia="仿宋_GB2312"/>
              </w:rPr>
              <w:t>明确指南的编制目的、适用范围、建设目标和基本原则；确定口袋公园的分级分类体系和标准，选址、设计、命名要求；制定植物配置、植物选择以及高碳汇植物应用要求；提出儿童友好空间、乐龄活动区、健身运动场等活动空间设计要求；明确公园标识标牌、座椅、垃圾箱、照明、安全设施、多功能驿站等服务设施建设标准和设计要求；提出公园建设管理、养护管理、运营模式以及综合评价体系和相关要求。</w:t>
            </w:r>
          </w:p>
          <w:p>
            <w:pPr>
              <w:pStyle w:val="null3"/>
              <w:jc w:val="both"/>
            </w:pPr>
            <w:r>
              <w:rPr>
                <w:rFonts w:ascii="仿宋_GB2312" w:hAnsi="仿宋_GB2312" w:cs="仿宋_GB2312" w:eastAsia="仿宋_GB2312"/>
              </w:rPr>
              <w:t>（2）《渭南市慢行交通系统设计导则》</w:t>
            </w:r>
          </w:p>
          <w:p>
            <w:pPr>
              <w:pStyle w:val="null3"/>
              <w:jc w:val="both"/>
            </w:pPr>
            <w:r>
              <w:rPr>
                <w:rFonts w:ascii="仿宋_GB2312" w:hAnsi="仿宋_GB2312" w:cs="仿宋_GB2312" w:eastAsia="仿宋_GB2312"/>
              </w:rPr>
              <w:t>明确导则的编制目的、适用范围、建设目标和基本原则；明确慢行交通网络的定义和类型，以及交通分区的划定标准；对步行交通系统提出设计要求，包括步行道路分级、步行空间设计、步行专用路设计、步行过街设施设计、交叉口转角空间设计；对自行车交通系统提出设计要求，包括自行车道路分级、自行车空间设计、自行车停放空间设计、自行车过渡带设计；明确慢行交通系统与公共交通的衔接要求，包括公共交通站点与过街设施的衔接、公共交通站点站台宽度和公共交通标识系统；明确慢行交通系统与机动车交通的协调，包括慢行交通系统与机动车道的协调、慢行交通系统与机动车停车的协调、慢行交通系统与机动车出入口的协调。</w:t>
            </w:r>
          </w:p>
          <w:p>
            <w:pPr>
              <w:pStyle w:val="null3"/>
              <w:jc w:val="both"/>
            </w:pPr>
            <w:r>
              <w:rPr>
                <w:rFonts w:ascii="仿宋_GB2312" w:hAnsi="仿宋_GB2312" w:cs="仿宋_GB2312" w:eastAsia="仿宋_GB2312"/>
              </w:rPr>
              <w:t>（3）《渭南市无障碍设施建设指南》</w:t>
            </w:r>
          </w:p>
          <w:p>
            <w:pPr>
              <w:pStyle w:val="null3"/>
              <w:jc w:val="both"/>
            </w:pPr>
            <w:r>
              <w:rPr>
                <w:rFonts w:ascii="仿宋_GB2312" w:hAnsi="仿宋_GB2312" w:cs="仿宋_GB2312" w:eastAsia="仿宋_GB2312"/>
              </w:rPr>
              <w:t>明确指南的编制目的、适用范围、建设目标和基本原则；分别明确城市道路、城市广场、绿地、公共建筑、住宅小区、住宅建筑的无障碍设施建设内容、标准和要求；提出网络信息、公共服务、公益服务、智慧应用等无障碍设施建设内容和标准；明确社区功能无障碍和家庭无障碍设施建设内容和标准；制定无障碍设施建设管理与维护体制机制，确定无障碍环境的评价标准和体系。</w:t>
            </w:r>
          </w:p>
          <w:p>
            <w:pPr>
              <w:pStyle w:val="null3"/>
              <w:jc w:val="both"/>
            </w:pPr>
            <w:r>
              <w:rPr>
                <w:rFonts w:ascii="仿宋_GB2312" w:hAnsi="仿宋_GB2312" w:cs="仿宋_GB2312" w:eastAsia="仿宋_GB2312"/>
              </w:rPr>
              <w:t>2.服务范围</w:t>
            </w:r>
          </w:p>
          <w:p>
            <w:pPr>
              <w:pStyle w:val="null3"/>
              <w:jc w:val="both"/>
            </w:pPr>
            <w:r>
              <w:rPr>
                <w:rFonts w:ascii="仿宋_GB2312" w:hAnsi="仿宋_GB2312" w:cs="仿宋_GB2312" w:eastAsia="仿宋_GB2312"/>
              </w:rPr>
              <w:t>以渭南市中心城区为主。</w:t>
            </w:r>
          </w:p>
          <w:p>
            <w:pPr>
              <w:pStyle w:val="null3"/>
              <w:jc w:val="both"/>
            </w:pPr>
            <w:r>
              <w:rPr>
                <w:rFonts w:ascii="仿宋_GB2312" w:hAnsi="仿宋_GB2312" w:cs="仿宋_GB2312" w:eastAsia="仿宋_GB2312"/>
                <w:b/>
              </w:rPr>
              <w:t>三、拟投入本项目的费用测算</w:t>
            </w:r>
          </w:p>
          <w:p>
            <w:pPr>
              <w:pStyle w:val="null3"/>
              <w:jc w:val="both"/>
            </w:pPr>
            <w:r>
              <w:rPr>
                <w:rFonts w:ascii="仿宋_GB2312" w:hAnsi="仿宋_GB2312" w:cs="仿宋_GB2312" w:eastAsia="仿宋_GB2312"/>
              </w:rPr>
              <w:t>本次预算费用包括完成本次服务的所有费用,包括但不限于项目人工费、机械费、验收费、管理费、税金、利润、采购文件明示及暗示所有风险等所有费用,服务期内采购人不再增加任何费用。</w:t>
            </w:r>
          </w:p>
          <w:p>
            <w:pPr>
              <w:pStyle w:val="null3"/>
              <w:jc w:val="both"/>
            </w:pPr>
            <w:r>
              <w:rPr>
                <w:rFonts w:ascii="仿宋_GB2312" w:hAnsi="仿宋_GB2312" w:cs="仿宋_GB2312" w:eastAsia="仿宋_GB2312"/>
                <w:b/>
              </w:rPr>
              <w:t>四、服务质量、标准、期限、效率等要求</w:t>
            </w:r>
          </w:p>
          <w:p>
            <w:pPr>
              <w:pStyle w:val="null3"/>
              <w:jc w:val="both"/>
            </w:pPr>
            <w:r>
              <w:rPr>
                <w:rFonts w:ascii="仿宋_GB2312" w:hAnsi="仿宋_GB2312" w:cs="仿宋_GB2312" w:eastAsia="仿宋_GB2312"/>
              </w:rPr>
              <w:t>严格遵循国家及地方相关法规，结合渭南市实际需求，内容兼具科学性与实操性。</w:t>
            </w:r>
          </w:p>
          <w:p>
            <w:pPr>
              <w:pStyle w:val="null3"/>
              <w:jc w:val="both"/>
            </w:pPr>
            <w:r>
              <w:rPr>
                <w:rFonts w:ascii="仿宋_GB2312" w:hAnsi="仿宋_GB2312" w:cs="仿宋_GB2312" w:eastAsia="仿宋_GB2312"/>
                <w:b/>
              </w:rPr>
              <w:t>五、成果内容</w:t>
            </w:r>
          </w:p>
          <w:p>
            <w:pPr>
              <w:pStyle w:val="null3"/>
              <w:jc w:val="both"/>
            </w:pPr>
            <w:r>
              <w:rPr>
                <w:rFonts w:ascii="仿宋_GB2312" w:hAnsi="仿宋_GB2312" w:cs="仿宋_GB2312" w:eastAsia="仿宋_GB2312"/>
                <w:sz w:val="21"/>
              </w:rPr>
              <w:t>成果资料:电子成果资料1套，纸质成果资料6套。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岗位配备齐全、专业搭配合理，工作经验和能力充分满足本项目建设需要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满足本项目建设需要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渭南市中心城区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严格遵循国家及地方相关法规，结合渭南市实际需求，内容兼具科学性与实操性。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项目成果通过甲方初审后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经专家评审通过后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项目提交全部成果，经市政府批准同意后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供应商应具备行政主管部门颁发的城乡规划（国土空间规划）编制甲级资质；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法定代表人直接参加投标的，须提供法定代表人身份证明及其身份证扫描件；法定代表人授权他人参加投标的，须提供法定代表人身份证明及法定代表人授权委托书；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财务审计报告（若成立时间至响应文件递交截止时间前不足一年的可提供成立后任意时段的资产负债表）或响应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投标人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政府采购供应商拒绝政府采购领域商业贿赂承诺书.pdf 标的清单 报价表 供应商认为需要提供的其他资料.pdf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响应文件按照磋商文件要求进行签署、盖章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自合同签订之日起90日历天</w:t>
            </w:r>
          </w:p>
        </w:tc>
        <w:tc>
          <w:tcPr>
            <w:tcW w:type="dxa" w:w="1661"/>
          </w:tcPr>
          <w:p>
            <w:pPr>
              <w:pStyle w:val="null3"/>
            </w:pPr>
            <w:r>
              <w:rPr>
                <w:rFonts w:ascii="仿宋_GB2312" w:hAnsi="仿宋_GB2312" w:cs="仿宋_GB2312" w:eastAsia="仿宋_GB2312"/>
              </w:rPr>
              <w:t>响应文件封面 响应函 服务内容及服务要求应答表.pdf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完全理解并接受磋商文件的约束</w:t>
            </w:r>
          </w:p>
        </w:tc>
        <w:tc>
          <w:tcPr>
            <w:tcW w:type="dxa" w:w="1661"/>
          </w:tcPr>
          <w:p>
            <w:pPr>
              <w:pStyle w:val="null3"/>
            </w:pPr>
            <w:r>
              <w:rPr>
                <w:rFonts w:ascii="仿宋_GB2312" w:hAnsi="仿宋_GB2312" w:cs="仿宋_GB2312" w:eastAsia="仿宋_GB2312"/>
              </w:rPr>
              <w:t>响应文件封面 商务应答表.pdf 服务内容及服务要求应答表.pdf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提供的内容包括但不限于以下内容：①项目背景分析;②项目前期发展情况③项目重难点分析，针对性地提出可行性方案。 每项方案内容描述完整、节点明确、切实可行得4 分，满分12 分。每有一处不合理扣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项目理解与分析.pdf</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提供的项目实施进度计划包括但不限于以下内容：①项目推进实施进度方案；②进度保障措施；③工作阶段任务划分。 每项方案内容描述完整、节点明确、切实可行得4 分，满分12 分。每有一处不合理扣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项目实施进度计划.pdf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服务方案包括但不限于以下内容：①分析面临的机遇、挑战及发展趋势；②发展的指导思想和发展目标、指标；③发展主要任务和实施策略；④重点任务和重大举措。 每项方案内容描述完整、节点明确、切实可行得3分，满分12 分。每有一处不合理扣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服务承诺及合理化建议方案内容应包括但不限于以下内容：①积极配合采购人服务要求；②服务承诺；③合理化建议等。 每项方案内容描述完整、节点明确、切实可行得4 分，满分12 分。每有一处不合理扣0.5分；扣完为止。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服务承诺及合理化建议.pdf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质量保证措施包括但不限于以下内容：①质量目标；②质量保障措施；③成果文件质量控制措施。 每项方案内容描述完整、节点明确、切实可行得4分，满分12分。每有一处不 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质量保证措施.pdf</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1、拟派项目负责人具有国家注册城乡规划师并具有城乡规划类相关专业高级或以上职称得5分； 2、拟派项目技术团队成员中(不含项目负责人)具有国家注册城乡规划师或城乡规划类相关专业高级或以上职称的，每提供一个得1分；具有城乡规划类相关专业中级职称的，每提供一个得0.5分。 本项共10分。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项目组织机构.pdf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供应商具有2023年至今承担过（以合同签订时间为准）的类似项目业绩，每提供一个计5分，满分10分；未提供不得分。 注：类似项目业绩以投标文件中提供加盖投标人公章的合同扫描件或复印件为准。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价格分统一采用低价优先法计算，即满足磋商文件要求且磋商价格最低的磋商报价为投标基准价，其价格分为满分。其他供应商的价格分统一按照下列公式计算： 磋商报价得分=(投标基准价／最终报价)×20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详见附件：供应商认为需要提供的其他资料.pdf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详见附件：项目理解与分析.pdf</w:t>
      </w:r>
    </w:p>
    <w:p>
      <w:pPr>
        <w:pStyle w:val="null3"/>
        <w:ind w:firstLine="960"/>
      </w:pPr>
      <w:r>
        <w:rPr>
          <w:rFonts w:ascii="仿宋_GB2312" w:hAnsi="仿宋_GB2312" w:cs="仿宋_GB2312" w:eastAsia="仿宋_GB2312"/>
        </w:rPr>
        <w:t>详见附件：服务承诺及合理化建议.pdf</w:t>
      </w:r>
    </w:p>
    <w:p>
      <w:pPr>
        <w:pStyle w:val="null3"/>
        <w:ind w:firstLine="960"/>
      </w:pPr>
      <w:r>
        <w:rPr>
          <w:rFonts w:ascii="仿宋_GB2312" w:hAnsi="仿宋_GB2312" w:cs="仿宋_GB2312" w:eastAsia="仿宋_GB2312"/>
        </w:rPr>
        <w:t>详见附件：项目实施进度计划.pdf</w:t>
      </w:r>
    </w:p>
    <w:p>
      <w:pPr>
        <w:pStyle w:val="null3"/>
        <w:ind w:firstLine="960"/>
      </w:pPr>
      <w:r>
        <w:rPr>
          <w:rFonts w:ascii="仿宋_GB2312" w:hAnsi="仿宋_GB2312" w:cs="仿宋_GB2312" w:eastAsia="仿宋_GB2312"/>
        </w:rPr>
        <w:t>详见附件：项目组织机构.pdf</w:t>
      </w:r>
    </w:p>
    <w:p>
      <w:pPr>
        <w:pStyle w:val="null3"/>
        <w:ind w:firstLine="960"/>
      </w:pPr>
      <w:r>
        <w:rPr>
          <w:rFonts w:ascii="仿宋_GB2312" w:hAnsi="仿宋_GB2312" w:cs="仿宋_GB2312" w:eastAsia="仿宋_GB2312"/>
        </w:rPr>
        <w:t>详见附件：业绩表.pdf</w:t>
      </w:r>
    </w:p>
    <w:p>
      <w:pPr>
        <w:pStyle w:val="null3"/>
        <w:ind w:firstLine="960"/>
      </w:pPr>
      <w:r>
        <w:rPr>
          <w:rFonts w:ascii="仿宋_GB2312" w:hAnsi="仿宋_GB2312" w:cs="仿宋_GB2312" w:eastAsia="仿宋_GB2312"/>
        </w:rPr>
        <w:t>详见附件：质量保证措施.pdf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