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658EBE">
      <w:pPr>
        <w:keepNext w:val="0"/>
        <w:keepLines w:val="0"/>
        <w:pageBreakBefore w:val="0"/>
        <w:widowControl w:val="0"/>
        <w:kinsoku/>
        <w:wordWrap/>
        <w:overflowPunct/>
        <w:topLinePunct w:val="0"/>
        <w:autoSpaceDE/>
        <w:autoSpaceDN/>
        <w:bidi w:val="0"/>
        <w:adjustRightInd/>
        <w:snapToGrid/>
        <w:spacing w:line="510" w:lineRule="exact"/>
        <w:jc w:val="center"/>
        <w:textAlignment w:val="auto"/>
        <w:rPr>
          <w:rFonts w:hint="eastAsia" w:ascii="宋体" w:hAnsi="宋体" w:eastAsia="宋体" w:cs="宋体"/>
          <w:b/>
          <w:color w:val="auto"/>
          <w:sz w:val="24"/>
          <w:szCs w:val="24"/>
        </w:rPr>
      </w:pPr>
      <w:r>
        <w:rPr>
          <w:rFonts w:hint="eastAsia" w:ascii="宋体" w:hAnsi="宋体" w:cs="宋体"/>
          <w:b/>
          <w:color w:val="auto"/>
          <w:sz w:val="24"/>
          <w:szCs w:val="24"/>
          <w:lang w:val="en-US" w:eastAsia="zh-CN"/>
        </w:rPr>
        <w:t>产品</w:t>
      </w:r>
      <w:r>
        <w:rPr>
          <w:rFonts w:hint="eastAsia" w:ascii="宋体" w:hAnsi="宋体" w:eastAsia="宋体" w:cs="宋体"/>
          <w:b/>
          <w:color w:val="auto"/>
          <w:sz w:val="24"/>
          <w:szCs w:val="24"/>
        </w:rPr>
        <w:t>技术</w:t>
      </w:r>
      <w:r>
        <w:rPr>
          <w:rFonts w:hint="eastAsia" w:ascii="宋体" w:hAnsi="宋体" w:cs="宋体"/>
          <w:b/>
          <w:color w:val="auto"/>
          <w:sz w:val="24"/>
          <w:szCs w:val="24"/>
          <w:lang w:val="en-US" w:eastAsia="zh-CN"/>
        </w:rPr>
        <w:t>响应</w:t>
      </w:r>
      <w:r>
        <w:rPr>
          <w:rFonts w:hint="eastAsia" w:ascii="宋体" w:hAnsi="宋体" w:eastAsia="宋体" w:cs="宋体"/>
          <w:b/>
          <w:color w:val="auto"/>
          <w:sz w:val="24"/>
          <w:szCs w:val="24"/>
        </w:rPr>
        <w:t>表</w:t>
      </w:r>
    </w:p>
    <w:p w14:paraId="03ACD065">
      <w:pPr>
        <w:rPr>
          <w:rFonts w:hint="default" w:ascii="宋体" w:hAnsi="宋体" w:eastAsia="宋体" w:cs="宋体"/>
          <w:b/>
          <w:bCs w:val="0"/>
          <w:color w:val="auto"/>
          <w:sz w:val="24"/>
          <w:szCs w:val="24"/>
          <w:u w:val="single"/>
          <w:lang w:val="en-US" w:eastAsia="zh-CN"/>
        </w:rPr>
      </w:pPr>
      <w:r>
        <w:rPr>
          <w:rFonts w:hint="eastAsia" w:ascii="宋体" w:hAnsi="宋体" w:eastAsia="宋体" w:cs="宋体"/>
          <w:b/>
          <w:bCs w:val="0"/>
          <w:color w:val="auto"/>
          <w:sz w:val="24"/>
          <w:szCs w:val="24"/>
          <w:lang w:val="en-US" w:eastAsia="zh-CN"/>
        </w:rPr>
        <w:t>采购</w:t>
      </w:r>
      <w:r>
        <w:rPr>
          <w:rFonts w:hint="eastAsia" w:ascii="宋体" w:hAnsi="宋体" w:eastAsia="宋体" w:cs="宋体"/>
          <w:b/>
          <w:bCs w:val="0"/>
          <w:color w:val="auto"/>
          <w:sz w:val="24"/>
          <w:szCs w:val="24"/>
        </w:rPr>
        <w:t>项目名称</w:t>
      </w:r>
      <w:r>
        <w:rPr>
          <w:rFonts w:hint="eastAsia" w:ascii="宋体" w:hAnsi="宋体" w:eastAsia="宋体" w:cs="宋体"/>
          <w:b/>
          <w:bCs w:val="0"/>
          <w:color w:val="auto"/>
          <w:sz w:val="24"/>
          <w:szCs w:val="24"/>
          <w:u w:val="none"/>
        </w:rPr>
        <w:t>：</w:t>
      </w:r>
      <w:r>
        <w:rPr>
          <w:rFonts w:hint="eastAsia" w:ascii="宋体" w:hAnsi="宋体" w:eastAsia="宋体" w:cs="宋体"/>
          <w:b/>
          <w:bCs w:val="0"/>
          <w:color w:val="auto"/>
          <w:sz w:val="24"/>
          <w:szCs w:val="24"/>
          <w:u w:val="single"/>
          <w:lang w:val="en-US" w:eastAsia="zh-CN"/>
        </w:rPr>
        <w:t xml:space="preserve">           </w:t>
      </w:r>
    </w:p>
    <w:p w14:paraId="20C1E024">
      <w:pPr>
        <w:pStyle w:val="3"/>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采购项目编号:</w:t>
      </w:r>
      <w:r>
        <w:rPr>
          <w:rFonts w:hint="eastAsia" w:ascii="宋体" w:hAnsi="宋体" w:eastAsia="宋体" w:cs="宋体"/>
          <w:b/>
          <w:bCs w:val="0"/>
          <w:sz w:val="24"/>
          <w:szCs w:val="24"/>
          <w:u w:val="single"/>
          <w:lang w:val="en-US" w:eastAsia="zh-CN"/>
        </w:rPr>
        <w:t xml:space="preserve">            </w:t>
      </w:r>
    </w:p>
    <w:p w14:paraId="4E02D636">
      <w:pPr>
        <w:rPr>
          <w:rFonts w:hint="default" w:ascii="宋体" w:hAnsi="宋体" w:eastAsia="宋体" w:cs="宋体"/>
          <w:b/>
          <w:bCs w:val="0"/>
          <w:kern w:val="2"/>
          <w:sz w:val="24"/>
          <w:szCs w:val="24"/>
          <w:lang w:val="en-US" w:eastAsia="zh-CN" w:bidi="ar-SA"/>
        </w:rPr>
      </w:pPr>
      <w:r>
        <w:rPr>
          <w:rFonts w:hint="eastAsia" w:ascii="宋体" w:hAnsi="宋体" w:cs="宋体"/>
          <w:b/>
          <w:bCs w:val="0"/>
          <w:kern w:val="2"/>
          <w:sz w:val="24"/>
          <w:szCs w:val="24"/>
          <w:lang w:val="en-US" w:eastAsia="zh-CN" w:bidi="ar-SA"/>
        </w:rPr>
        <w:t>合同包名称</w:t>
      </w:r>
      <w:r>
        <w:rPr>
          <w:rFonts w:hint="eastAsia" w:ascii="宋体" w:hAnsi="宋体" w:eastAsia="宋体" w:cs="宋体"/>
          <w:b/>
          <w:bCs w:val="0"/>
          <w:kern w:val="2"/>
          <w:sz w:val="24"/>
          <w:szCs w:val="24"/>
          <w:lang w:val="en-US" w:eastAsia="zh-CN" w:bidi="ar-SA"/>
        </w:rPr>
        <w:t xml:space="preserve">: </w:t>
      </w:r>
      <w:r>
        <w:rPr>
          <w:rFonts w:hint="eastAsia" w:ascii="宋体" w:hAnsi="宋体" w:eastAsia="宋体" w:cs="宋体"/>
          <w:b/>
          <w:bCs w:val="0"/>
          <w:kern w:val="2"/>
          <w:sz w:val="24"/>
          <w:szCs w:val="24"/>
          <w:u w:val="single"/>
          <w:lang w:val="en-US" w:eastAsia="zh-CN" w:bidi="ar-SA"/>
        </w:rPr>
        <w:t xml:space="preserve">               </w:t>
      </w:r>
    </w:p>
    <w:tbl>
      <w:tblPr>
        <w:tblStyle w:val="6"/>
        <w:tblW w:w="9273"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705"/>
        <w:gridCol w:w="1143"/>
        <w:gridCol w:w="4842"/>
        <w:gridCol w:w="1349"/>
        <w:gridCol w:w="1234"/>
      </w:tblGrid>
      <w:tr w14:paraId="6062D7D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24" w:hRule="atLeast"/>
          <w:jc w:val="center"/>
        </w:trPr>
        <w:tc>
          <w:tcPr>
            <w:tcW w:w="705" w:type="dxa"/>
            <w:tcBorders>
              <w:top w:val="single" w:color="auto" w:sz="4" w:space="0"/>
              <w:left w:val="single" w:color="auto" w:sz="4" w:space="0"/>
              <w:bottom w:val="single" w:color="auto" w:sz="4" w:space="0"/>
            </w:tcBorders>
            <w:noWrap w:val="0"/>
            <w:vAlign w:val="center"/>
          </w:tcPr>
          <w:p w14:paraId="34FE96CB">
            <w:pPr>
              <w:spacing w:line="500" w:lineRule="exact"/>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序号</w:t>
            </w:r>
          </w:p>
        </w:tc>
        <w:tc>
          <w:tcPr>
            <w:tcW w:w="1143" w:type="dxa"/>
            <w:noWrap w:val="0"/>
            <w:vAlign w:val="center"/>
          </w:tcPr>
          <w:p w14:paraId="39F5AB5D">
            <w:pPr>
              <w:spacing w:line="500" w:lineRule="exact"/>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名称</w:t>
            </w:r>
          </w:p>
        </w:tc>
        <w:tc>
          <w:tcPr>
            <w:tcW w:w="4842" w:type="dxa"/>
            <w:noWrap w:val="0"/>
            <w:vAlign w:val="center"/>
          </w:tcPr>
          <w:p w14:paraId="3F939F76">
            <w:pPr>
              <w:spacing w:line="500" w:lineRule="exact"/>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招标技术要求</w:t>
            </w:r>
          </w:p>
        </w:tc>
        <w:tc>
          <w:tcPr>
            <w:tcW w:w="1349" w:type="dxa"/>
            <w:noWrap w:val="0"/>
            <w:vAlign w:val="center"/>
          </w:tcPr>
          <w:p w14:paraId="703ABD3D">
            <w:pPr>
              <w:spacing w:line="500" w:lineRule="exact"/>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rPr>
              <w:t>投标技术响应</w:t>
            </w:r>
            <w:r>
              <w:rPr>
                <w:rFonts w:hint="eastAsia" w:ascii="宋体" w:hAnsi="宋体" w:cs="宋体"/>
                <w:b/>
                <w:bCs/>
                <w:color w:val="auto"/>
                <w:sz w:val="24"/>
                <w:szCs w:val="24"/>
                <w:lang w:val="en-US" w:eastAsia="zh-CN"/>
              </w:rPr>
              <w:t>内容</w:t>
            </w:r>
          </w:p>
        </w:tc>
        <w:tc>
          <w:tcPr>
            <w:tcW w:w="1234" w:type="dxa"/>
            <w:noWrap w:val="0"/>
            <w:vAlign w:val="center"/>
          </w:tcPr>
          <w:p w14:paraId="1F2F31B8">
            <w:pPr>
              <w:spacing w:line="500" w:lineRule="exact"/>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rPr>
              <w:t>偏离</w:t>
            </w:r>
            <w:r>
              <w:rPr>
                <w:rFonts w:hint="eastAsia" w:ascii="宋体" w:hAnsi="宋体" w:eastAsia="宋体" w:cs="宋体"/>
                <w:b/>
                <w:bCs/>
                <w:color w:val="auto"/>
                <w:sz w:val="24"/>
                <w:szCs w:val="24"/>
                <w:lang w:val="en-US" w:eastAsia="zh-CN"/>
              </w:rPr>
              <w:t>说明</w:t>
            </w:r>
          </w:p>
        </w:tc>
      </w:tr>
      <w:tr w14:paraId="6133BE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45" w:hRule="atLeast"/>
          <w:jc w:val="center"/>
        </w:trPr>
        <w:tc>
          <w:tcPr>
            <w:tcW w:w="705" w:type="dxa"/>
            <w:tcBorders>
              <w:top w:val="single" w:color="auto" w:sz="4" w:space="0"/>
              <w:left w:val="single" w:color="auto" w:sz="4" w:space="0"/>
              <w:bottom w:val="single" w:color="auto" w:sz="4" w:space="0"/>
            </w:tcBorders>
            <w:noWrap w:val="0"/>
            <w:vAlign w:val="center"/>
          </w:tcPr>
          <w:p w14:paraId="20A9CBC3">
            <w:pPr>
              <w:spacing w:line="50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w:t>
            </w:r>
          </w:p>
        </w:tc>
        <w:tc>
          <w:tcPr>
            <w:tcW w:w="1143" w:type="dxa"/>
            <w:noWrap w:val="0"/>
            <w:vAlign w:val="center"/>
          </w:tcPr>
          <w:p w14:paraId="45DC96F9">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color w:val="auto"/>
                <w:sz w:val="21"/>
                <w:szCs w:val="21"/>
              </w:rPr>
            </w:pPr>
            <w:r>
              <w:rPr>
                <w:rFonts w:hint="eastAsia" w:ascii="仿宋" w:hAnsi="仿宋" w:eastAsia="仿宋" w:cs="仿宋"/>
                <w:sz w:val="20"/>
                <w:szCs w:val="22"/>
                <w:highlight w:val="none"/>
              </w:rPr>
              <w:t>猪肉（后腿肉、瘦肉)、牛肉（剔骨）</w:t>
            </w:r>
          </w:p>
        </w:tc>
        <w:tc>
          <w:tcPr>
            <w:tcW w:w="4842" w:type="dxa"/>
            <w:noWrap w:val="0"/>
            <w:vAlign w:val="top"/>
          </w:tcPr>
          <w:p w14:paraId="7AB8192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0"/>
                <w:szCs w:val="22"/>
                <w:highlight w:val="none"/>
              </w:rPr>
            </w:pPr>
            <w:r>
              <w:rPr>
                <w:rFonts w:hint="eastAsia" w:ascii="仿宋" w:hAnsi="仿宋" w:eastAsia="仿宋" w:cs="仿宋"/>
                <w:sz w:val="20"/>
                <w:szCs w:val="22"/>
                <w:highlight w:val="none"/>
              </w:rPr>
              <w:t>1.来源于生猪、牛定点屠宰企业生鲜畜肉，供货时须提交当批次有效的动物检疫合格证复印件，当天屠宰且不能是冻肉，应符合生猪、牛、羊溯源体系的要求并有产地动物卫生监督机构出具的检疫（或检测）合格证明和动物产品检疫（或检测）合格验讫印章以及牲畜定点屠宰场肉品品质检验合格验讫印章、猪肉还需附有非洲猪瘟检测证明。产品符合标准GB/T9959、GB2707-2016，盐酸克伦特罗、莱克多巴胺、沙丁胺醇、氯霉素不得检出，肉食品必须新鲜无变质。</w:t>
            </w:r>
          </w:p>
          <w:p w14:paraId="4D32CF57">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0"/>
                <w:szCs w:val="22"/>
                <w:highlight w:val="none"/>
              </w:rPr>
            </w:pPr>
            <w:r>
              <w:rPr>
                <w:rFonts w:hint="eastAsia" w:ascii="仿宋" w:hAnsi="仿宋" w:eastAsia="仿宋" w:cs="仿宋"/>
                <w:sz w:val="20"/>
                <w:szCs w:val="22"/>
                <w:highlight w:val="none"/>
              </w:rPr>
              <w:t>2.符合食品安全溯源管理要求。</w:t>
            </w:r>
          </w:p>
          <w:p w14:paraId="7C7C1218">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0"/>
                <w:szCs w:val="22"/>
                <w:highlight w:val="none"/>
              </w:rPr>
            </w:pPr>
            <w:r>
              <w:rPr>
                <w:rFonts w:hint="eastAsia" w:ascii="仿宋" w:hAnsi="仿宋" w:eastAsia="仿宋" w:cs="仿宋"/>
                <w:sz w:val="20"/>
                <w:szCs w:val="22"/>
                <w:highlight w:val="none"/>
              </w:rPr>
              <w:t>3.无槽头肉和血刀肉；无残留毛绒，不带长短毛；不带浮毛、凝血块、胆污、粪污及其他污染物。</w:t>
            </w:r>
          </w:p>
          <w:p w14:paraId="68C39497">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0"/>
                <w:szCs w:val="22"/>
                <w:highlight w:val="none"/>
              </w:rPr>
            </w:pPr>
            <w:r>
              <w:rPr>
                <w:rFonts w:hint="eastAsia" w:ascii="仿宋" w:hAnsi="仿宋" w:eastAsia="仿宋" w:cs="仿宋"/>
                <w:sz w:val="20"/>
                <w:szCs w:val="22"/>
                <w:highlight w:val="none"/>
              </w:rPr>
              <w:t>4.气味：具有生鲜肉正常气味。煮沸后肉汤透明澄清，脂肪团聚于液面，具有鲜肉香味。</w:t>
            </w:r>
          </w:p>
          <w:p w14:paraId="3F2F27D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0"/>
                <w:szCs w:val="22"/>
                <w:highlight w:val="none"/>
              </w:rPr>
            </w:pPr>
            <w:r>
              <w:rPr>
                <w:rFonts w:hint="eastAsia" w:ascii="仿宋" w:hAnsi="仿宋" w:eastAsia="仿宋" w:cs="仿宋"/>
                <w:sz w:val="20"/>
                <w:szCs w:val="22"/>
                <w:highlight w:val="none"/>
              </w:rPr>
              <w:t>5.色泽：肌肉色泽鲜红或深红，有光泽。</w:t>
            </w:r>
          </w:p>
          <w:p w14:paraId="6C222326">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0"/>
                <w:szCs w:val="22"/>
                <w:highlight w:val="none"/>
              </w:rPr>
            </w:pPr>
            <w:r>
              <w:rPr>
                <w:rFonts w:hint="eastAsia" w:ascii="仿宋" w:hAnsi="仿宋" w:eastAsia="仿宋" w:cs="仿宋"/>
                <w:sz w:val="20"/>
                <w:szCs w:val="22"/>
                <w:highlight w:val="none"/>
              </w:rPr>
              <w:t>6.不得提供冷冻肉类，不得以肉制品代替猪肉。</w:t>
            </w:r>
          </w:p>
          <w:p w14:paraId="75F84A3D">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b/>
                <w:bCs/>
                <w:color w:val="auto"/>
                <w:sz w:val="21"/>
                <w:szCs w:val="21"/>
              </w:rPr>
            </w:pPr>
            <w:r>
              <w:rPr>
                <w:rFonts w:hint="eastAsia" w:ascii="仿宋" w:hAnsi="仿宋" w:eastAsia="仿宋" w:cs="仿宋"/>
                <w:sz w:val="20"/>
                <w:szCs w:val="22"/>
                <w:highlight w:val="none"/>
              </w:rPr>
              <w:t>7.所供货物应保持较好的外观和质量等级，保证无异味、无霉烂变质，保证来源于正规。</w:t>
            </w:r>
          </w:p>
        </w:tc>
        <w:tc>
          <w:tcPr>
            <w:tcW w:w="1349" w:type="dxa"/>
            <w:noWrap w:val="0"/>
            <w:vAlign w:val="top"/>
          </w:tcPr>
          <w:p w14:paraId="728DF28E">
            <w:pPr>
              <w:spacing w:line="500" w:lineRule="exact"/>
              <w:jc w:val="center"/>
              <w:rPr>
                <w:rFonts w:hint="eastAsia" w:asciiTheme="minorEastAsia" w:hAnsiTheme="minorEastAsia" w:eastAsiaTheme="minorEastAsia" w:cstheme="minorEastAsia"/>
                <w:color w:val="auto"/>
                <w:sz w:val="21"/>
                <w:szCs w:val="21"/>
              </w:rPr>
            </w:pPr>
          </w:p>
        </w:tc>
        <w:tc>
          <w:tcPr>
            <w:tcW w:w="1234" w:type="dxa"/>
            <w:noWrap w:val="0"/>
            <w:vAlign w:val="top"/>
          </w:tcPr>
          <w:p w14:paraId="0757CB95">
            <w:pPr>
              <w:spacing w:line="500" w:lineRule="exact"/>
              <w:jc w:val="center"/>
              <w:rPr>
                <w:rFonts w:hint="eastAsia" w:asciiTheme="minorEastAsia" w:hAnsiTheme="minorEastAsia" w:eastAsiaTheme="minorEastAsia" w:cstheme="minorEastAsia"/>
                <w:color w:val="auto"/>
                <w:sz w:val="21"/>
                <w:szCs w:val="21"/>
              </w:rPr>
            </w:pPr>
          </w:p>
        </w:tc>
      </w:tr>
      <w:tr w14:paraId="0FA51D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46" w:hRule="atLeast"/>
          <w:jc w:val="center"/>
        </w:trPr>
        <w:tc>
          <w:tcPr>
            <w:tcW w:w="705" w:type="dxa"/>
            <w:tcBorders>
              <w:top w:val="single" w:color="auto" w:sz="4" w:space="0"/>
              <w:left w:val="single" w:color="auto" w:sz="4" w:space="0"/>
              <w:bottom w:val="single" w:color="auto" w:sz="4" w:space="0"/>
            </w:tcBorders>
            <w:noWrap w:val="0"/>
            <w:vAlign w:val="center"/>
          </w:tcPr>
          <w:p w14:paraId="6792FB3A">
            <w:pPr>
              <w:spacing w:line="50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w:t>
            </w:r>
          </w:p>
        </w:tc>
        <w:tc>
          <w:tcPr>
            <w:tcW w:w="1143" w:type="dxa"/>
            <w:noWrap w:val="0"/>
            <w:vAlign w:val="center"/>
          </w:tcPr>
          <w:p w14:paraId="15133ED7">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color w:val="auto"/>
                <w:sz w:val="21"/>
                <w:szCs w:val="21"/>
              </w:rPr>
            </w:pPr>
            <w:r>
              <w:rPr>
                <w:rFonts w:hint="eastAsia" w:ascii="仿宋" w:hAnsi="仿宋" w:eastAsia="仿宋" w:cs="仿宋"/>
                <w:sz w:val="20"/>
                <w:szCs w:val="22"/>
                <w:highlight w:val="none"/>
              </w:rPr>
              <w:t>鸡肉</w:t>
            </w:r>
          </w:p>
        </w:tc>
        <w:tc>
          <w:tcPr>
            <w:tcW w:w="4842" w:type="dxa"/>
            <w:noWrap w:val="0"/>
            <w:vAlign w:val="top"/>
          </w:tcPr>
          <w:p w14:paraId="04CBD72E">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0"/>
                <w:szCs w:val="22"/>
                <w:highlight w:val="none"/>
              </w:rPr>
            </w:pPr>
            <w:r>
              <w:rPr>
                <w:rFonts w:hint="eastAsia" w:ascii="仿宋" w:hAnsi="仿宋" w:eastAsia="仿宋" w:cs="仿宋"/>
                <w:sz w:val="20"/>
                <w:szCs w:val="22"/>
                <w:highlight w:val="none"/>
              </w:rPr>
              <w:t>1.供应时应具备当日的《动物检疫合格证明》,外地生鲜禽肉应具备其所在地农业部门的检疫合格证明或检疫验讫标识，生鲜禽肉类必须保证新鲜，应符合食品安全溯源管理要求。</w:t>
            </w:r>
          </w:p>
          <w:p w14:paraId="4C7F4EF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color w:val="auto"/>
                <w:sz w:val="21"/>
                <w:szCs w:val="21"/>
              </w:rPr>
            </w:pPr>
            <w:r>
              <w:rPr>
                <w:rFonts w:hint="eastAsia" w:ascii="仿宋" w:hAnsi="仿宋" w:eastAsia="仿宋" w:cs="仿宋"/>
                <w:sz w:val="20"/>
                <w:szCs w:val="22"/>
                <w:highlight w:val="none"/>
              </w:rPr>
              <w:t>2.鸡肉：具有该品种应有的外形特征，大小符合要求，鸡肚内无一切内脏，眼球饱满，皮肤有光泽，因品种不同而呈淡黄、淡红、灰白或灰黑等色；外表微干或微湿润，不粘手，指压后的凹陷立即恢复，具有鲜鸡肉正常气味，淤血斑无或极少，无异味、无注水、无破皮，鸡的翼部或鸡关节不能有骨折和因骨折破皮而使骨头外露。</w:t>
            </w:r>
          </w:p>
        </w:tc>
        <w:tc>
          <w:tcPr>
            <w:tcW w:w="1349" w:type="dxa"/>
            <w:noWrap w:val="0"/>
            <w:vAlign w:val="top"/>
          </w:tcPr>
          <w:p w14:paraId="53D424A3">
            <w:pPr>
              <w:spacing w:line="500" w:lineRule="exact"/>
              <w:jc w:val="center"/>
              <w:rPr>
                <w:rFonts w:hint="eastAsia" w:asciiTheme="minorEastAsia" w:hAnsiTheme="minorEastAsia" w:eastAsiaTheme="minorEastAsia" w:cstheme="minorEastAsia"/>
                <w:color w:val="auto"/>
                <w:sz w:val="21"/>
                <w:szCs w:val="21"/>
              </w:rPr>
            </w:pPr>
          </w:p>
        </w:tc>
        <w:tc>
          <w:tcPr>
            <w:tcW w:w="1234" w:type="dxa"/>
            <w:noWrap w:val="0"/>
            <w:vAlign w:val="top"/>
          </w:tcPr>
          <w:p w14:paraId="440D4407">
            <w:pPr>
              <w:spacing w:line="500" w:lineRule="exact"/>
              <w:jc w:val="center"/>
              <w:rPr>
                <w:rFonts w:hint="eastAsia" w:asciiTheme="minorEastAsia" w:hAnsiTheme="minorEastAsia" w:eastAsiaTheme="minorEastAsia" w:cstheme="minorEastAsia"/>
                <w:color w:val="auto"/>
                <w:sz w:val="21"/>
                <w:szCs w:val="21"/>
              </w:rPr>
            </w:pPr>
          </w:p>
        </w:tc>
      </w:tr>
      <w:tr w14:paraId="06124D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0" w:hRule="atLeast"/>
          <w:jc w:val="center"/>
        </w:trPr>
        <w:tc>
          <w:tcPr>
            <w:tcW w:w="705" w:type="dxa"/>
            <w:tcBorders>
              <w:top w:val="single" w:color="auto" w:sz="4" w:space="0"/>
              <w:left w:val="single" w:color="auto" w:sz="4" w:space="0"/>
              <w:bottom w:val="single" w:color="auto" w:sz="4" w:space="0"/>
            </w:tcBorders>
            <w:noWrap w:val="0"/>
            <w:vAlign w:val="center"/>
          </w:tcPr>
          <w:p w14:paraId="705F5D4B">
            <w:pPr>
              <w:spacing w:line="50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w:t>
            </w:r>
          </w:p>
        </w:tc>
        <w:tc>
          <w:tcPr>
            <w:tcW w:w="1143" w:type="dxa"/>
            <w:noWrap w:val="0"/>
            <w:vAlign w:val="center"/>
          </w:tcPr>
          <w:p w14:paraId="426C24DB">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color w:val="auto"/>
                <w:sz w:val="21"/>
                <w:szCs w:val="21"/>
              </w:rPr>
            </w:pPr>
            <w:r>
              <w:rPr>
                <w:rFonts w:hint="eastAsia" w:ascii="仿宋" w:hAnsi="仿宋" w:eastAsia="仿宋" w:cs="仿宋"/>
                <w:sz w:val="20"/>
                <w:szCs w:val="22"/>
                <w:highlight w:val="none"/>
              </w:rPr>
              <w:t>鸡蛋</w:t>
            </w:r>
          </w:p>
        </w:tc>
        <w:tc>
          <w:tcPr>
            <w:tcW w:w="4842" w:type="dxa"/>
            <w:noWrap w:val="0"/>
            <w:vAlign w:val="top"/>
          </w:tcPr>
          <w:p w14:paraId="3B7B40CD">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0"/>
                <w:szCs w:val="22"/>
                <w:highlight w:val="none"/>
              </w:rPr>
            </w:pPr>
            <w:r>
              <w:rPr>
                <w:rFonts w:hint="eastAsia" w:ascii="仿宋" w:hAnsi="仿宋" w:eastAsia="仿宋" w:cs="仿宋"/>
                <w:sz w:val="20"/>
                <w:szCs w:val="22"/>
                <w:highlight w:val="none"/>
              </w:rPr>
              <w:t>蛋类为新鲜、大小均匀、无疫、无残留(兽药、饲料)、无违禁添加剂、无异型蛋、脏蛋、血蛋。色泽鲜亮，蛋壳清洁完整无裂缝。(提供第三方检测报告或其他证明材料)</w:t>
            </w:r>
          </w:p>
          <w:p w14:paraId="6872A6C6">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color w:val="auto"/>
                <w:sz w:val="21"/>
                <w:szCs w:val="21"/>
              </w:rPr>
            </w:pPr>
            <w:r>
              <w:rPr>
                <w:rFonts w:hint="eastAsia" w:ascii="仿宋" w:hAnsi="仿宋" w:eastAsia="仿宋" w:cs="仿宋"/>
                <w:sz w:val="20"/>
                <w:szCs w:val="22"/>
                <w:highlight w:val="none"/>
              </w:rPr>
              <w:t>满足GB2749-2015《食品安全国家标准蛋与蛋制品》</w:t>
            </w:r>
          </w:p>
        </w:tc>
        <w:tc>
          <w:tcPr>
            <w:tcW w:w="1349" w:type="dxa"/>
            <w:noWrap w:val="0"/>
            <w:vAlign w:val="top"/>
          </w:tcPr>
          <w:p w14:paraId="2335B1BE">
            <w:pPr>
              <w:spacing w:line="500" w:lineRule="exact"/>
              <w:jc w:val="center"/>
              <w:rPr>
                <w:rFonts w:hint="eastAsia" w:asciiTheme="minorEastAsia" w:hAnsiTheme="minorEastAsia" w:eastAsiaTheme="minorEastAsia" w:cstheme="minorEastAsia"/>
                <w:color w:val="auto"/>
                <w:sz w:val="21"/>
                <w:szCs w:val="21"/>
              </w:rPr>
            </w:pPr>
          </w:p>
        </w:tc>
        <w:tc>
          <w:tcPr>
            <w:tcW w:w="1234" w:type="dxa"/>
            <w:noWrap w:val="0"/>
            <w:vAlign w:val="top"/>
          </w:tcPr>
          <w:p w14:paraId="6F794C6D">
            <w:pPr>
              <w:spacing w:line="500" w:lineRule="exact"/>
              <w:jc w:val="center"/>
              <w:rPr>
                <w:rFonts w:hint="eastAsia" w:asciiTheme="minorEastAsia" w:hAnsiTheme="minorEastAsia" w:eastAsiaTheme="minorEastAsia" w:cstheme="minorEastAsia"/>
                <w:color w:val="auto"/>
                <w:sz w:val="21"/>
                <w:szCs w:val="21"/>
              </w:rPr>
            </w:pPr>
          </w:p>
        </w:tc>
      </w:tr>
      <w:tr w14:paraId="45281C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46" w:hRule="atLeast"/>
          <w:jc w:val="center"/>
        </w:trPr>
        <w:tc>
          <w:tcPr>
            <w:tcW w:w="705" w:type="dxa"/>
            <w:tcBorders>
              <w:top w:val="single" w:color="auto" w:sz="4" w:space="0"/>
              <w:left w:val="single" w:color="auto" w:sz="4" w:space="0"/>
              <w:bottom w:val="single" w:color="auto" w:sz="4" w:space="0"/>
            </w:tcBorders>
            <w:noWrap w:val="0"/>
            <w:vAlign w:val="center"/>
          </w:tcPr>
          <w:p w14:paraId="2530F417">
            <w:pPr>
              <w:spacing w:line="50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4</w:t>
            </w:r>
          </w:p>
        </w:tc>
        <w:tc>
          <w:tcPr>
            <w:tcW w:w="1143" w:type="dxa"/>
            <w:noWrap w:val="0"/>
            <w:vAlign w:val="center"/>
          </w:tcPr>
          <w:p w14:paraId="63584B7F">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sz w:val="20"/>
                <w:szCs w:val="22"/>
                <w:highlight w:val="none"/>
                <w:lang w:val="en-US" w:eastAsia="zh-CN"/>
              </w:rPr>
            </w:pPr>
            <w:r>
              <w:rPr>
                <w:rFonts w:hint="eastAsia" w:ascii="仿宋" w:hAnsi="仿宋" w:eastAsia="仿宋" w:cs="仿宋"/>
                <w:sz w:val="20"/>
                <w:szCs w:val="22"/>
                <w:highlight w:val="none"/>
                <w:lang w:val="en-US" w:eastAsia="zh-CN"/>
              </w:rPr>
              <w:t>奶</w:t>
            </w:r>
          </w:p>
          <w:p w14:paraId="61DDAF7F">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color w:val="auto"/>
                <w:sz w:val="21"/>
                <w:szCs w:val="21"/>
              </w:rPr>
            </w:pPr>
            <w:r>
              <w:rPr>
                <w:rFonts w:hint="eastAsia" w:ascii="仿宋" w:hAnsi="仿宋" w:eastAsia="仿宋" w:cs="仿宋"/>
                <w:sz w:val="20"/>
                <w:szCs w:val="22"/>
                <w:highlight w:val="none"/>
                <w:lang w:val="en-US" w:eastAsia="zh-CN"/>
              </w:rPr>
              <w:t>（纯牛奶、酸奶）</w:t>
            </w:r>
          </w:p>
        </w:tc>
        <w:tc>
          <w:tcPr>
            <w:tcW w:w="4842" w:type="dxa"/>
            <w:noWrap w:val="0"/>
            <w:vAlign w:val="top"/>
          </w:tcPr>
          <w:p w14:paraId="6BAA8B3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0"/>
                <w:szCs w:val="22"/>
                <w:highlight w:val="none"/>
              </w:rPr>
            </w:pPr>
            <w:r>
              <w:rPr>
                <w:rFonts w:hint="eastAsia" w:ascii="仿宋" w:hAnsi="仿宋" w:eastAsia="仿宋" w:cs="仿宋"/>
                <w:sz w:val="20"/>
                <w:szCs w:val="22"/>
                <w:highlight w:val="none"/>
                <w:lang w:val="en-US" w:eastAsia="zh-CN"/>
              </w:rPr>
              <w:t>纯牛奶：</w:t>
            </w:r>
          </w:p>
          <w:p w14:paraId="21E80DF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0"/>
                <w:szCs w:val="22"/>
                <w:highlight w:val="none"/>
              </w:rPr>
            </w:pPr>
            <w:r>
              <w:rPr>
                <w:rFonts w:hint="eastAsia" w:ascii="仿宋" w:hAnsi="仿宋" w:eastAsia="仿宋" w:cs="仿宋"/>
                <w:sz w:val="20"/>
                <w:szCs w:val="22"/>
                <w:highlight w:val="none"/>
                <w:lang w:val="en-US" w:eastAsia="zh-CN"/>
              </w:rPr>
              <w:t>1.</w:t>
            </w:r>
            <w:r>
              <w:rPr>
                <w:rFonts w:hint="eastAsia" w:ascii="仿宋" w:hAnsi="仿宋" w:eastAsia="仿宋" w:cs="仿宋"/>
                <w:sz w:val="20"/>
                <w:szCs w:val="22"/>
                <w:highlight w:val="none"/>
              </w:rPr>
              <w:t>取得“学”字标生产资质企业。</w:t>
            </w:r>
          </w:p>
          <w:p w14:paraId="29C9DE95">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0"/>
                <w:szCs w:val="22"/>
                <w:highlight w:val="none"/>
              </w:rPr>
            </w:pPr>
            <w:r>
              <w:rPr>
                <w:rFonts w:hint="eastAsia" w:ascii="仿宋" w:hAnsi="仿宋" w:eastAsia="仿宋" w:cs="仿宋"/>
                <w:sz w:val="20"/>
                <w:szCs w:val="22"/>
                <w:highlight w:val="none"/>
                <w:lang w:val="en-US" w:eastAsia="zh-CN"/>
              </w:rPr>
              <w:t>2.</w:t>
            </w:r>
            <w:r>
              <w:rPr>
                <w:rFonts w:hint="eastAsia" w:ascii="仿宋" w:hAnsi="仿宋" w:eastAsia="仿宋" w:cs="仿宋"/>
                <w:sz w:val="20"/>
                <w:szCs w:val="22"/>
                <w:highlight w:val="none"/>
              </w:rPr>
              <w:t>产品蛋白含量每100g≥3.0克。</w:t>
            </w:r>
          </w:p>
          <w:p w14:paraId="016419BB">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0"/>
                <w:szCs w:val="22"/>
                <w:highlight w:val="none"/>
              </w:rPr>
            </w:pPr>
            <w:r>
              <w:rPr>
                <w:rFonts w:hint="eastAsia" w:ascii="仿宋" w:hAnsi="仿宋" w:eastAsia="仿宋" w:cs="仿宋"/>
                <w:sz w:val="20"/>
                <w:szCs w:val="22"/>
                <w:highlight w:val="none"/>
                <w:lang w:val="en-US" w:eastAsia="zh-CN"/>
              </w:rPr>
              <w:t>3</w:t>
            </w:r>
            <w:r>
              <w:rPr>
                <w:rFonts w:hint="eastAsia" w:ascii="仿宋" w:hAnsi="仿宋" w:eastAsia="仿宋" w:cs="仿宋"/>
                <w:sz w:val="20"/>
                <w:szCs w:val="22"/>
                <w:highlight w:val="none"/>
              </w:rPr>
              <w:t>.产品容量≥200ml。</w:t>
            </w:r>
          </w:p>
          <w:p w14:paraId="3AEE4AE0">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0"/>
                <w:szCs w:val="22"/>
                <w:highlight w:val="none"/>
              </w:rPr>
            </w:pPr>
            <w:r>
              <w:rPr>
                <w:rFonts w:hint="eastAsia" w:ascii="仿宋" w:hAnsi="仿宋" w:eastAsia="仿宋" w:cs="仿宋"/>
                <w:sz w:val="20"/>
                <w:szCs w:val="22"/>
                <w:highlight w:val="none"/>
              </w:rPr>
              <w:t>4.脂肪每100g≥3.6g。</w:t>
            </w:r>
          </w:p>
          <w:p w14:paraId="775E8070">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0"/>
                <w:szCs w:val="22"/>
                <w:highlight w:val="none"/>
              </w:rPr>
            </w:pPr>
          </w:p>
          <w:p w14:paraId="77BD3902">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0"/>
                <w:szCs w:val="22"/>
                <w:highlight w:val="none"/>
              </w:rPr>
            </w:pPr>
            <w:r>
              <w:rPr>
                <w:rFonts w:hint="eastAsia" w:ascii="仿宋" w:hAnsi="仿宋" w:eastAsia="仿宋" w:cs="仿宋"/>
                <w:sz w:val="20"/>
                <w:szCs w:val="22"/>
                <w:highlight w:val="none"/>
                <w:lang w:val="en-US" w:eastAsia="zh-CN"/>
              </w:rPr>
              <w:t>酸奶：</w:t>
            </w:r>
          </w:p>
          <w:p w14:paraId="16E8115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0"/>
                <w:szCs w:val="22"/>
                <w:highlight w:val="none"/>
              </w:rPr>
            </w:pPr>
            <w:r>
              <w:rPr>
                <w:rFonts w:hint="eastAsia" w:ascii="仿宋" w:hAnsi="仿宋" w:eastAsia="仿宋" w:cs="仿宋"/>
                <w:sz w:val="20"/>
                <w:szCs w:val="22"/>
                <w:highlight w:val="none"/>
                <w:lang w:val="en-US" w:eastAsia="zh-CN"/>
              </w:rPr>
              <w:t>1.</w:t>
            </w:r>
            <w:r>
              <w:rPr>
                <w:rFonts w:hint="eastAsia" w:ascii="仿宋" w:hAnsi="仿宋" w:eastAsia="仿宋" w:cs="仿宋"/>
                <w:sz w:val="20"/>
                <w:szCs w:val="22"/>
                <w:highlight w:val="none"/>
              </w:rPr>
              <w:t>包装规范、完好</w:t>
            </w:r>
          </w:p>
          <w:p w14:paraId="18DF8AC0">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0"/>
                <w:szCs w:val="22"/>
                <w:highlight w:val="none"/>
              </w:rPr>
            </w:pPr>
            <w:r>
              <w:rPr>
                <w:rFonts w:hint="eastAsia" w:ascii="仿宋" w:hAnsi="仿宋" w:eastAsia="仿宋" w:cs="仿宋"/>
                <w:sz w:val="20"/>
                <w:szCs w:val="22"/>
                <w:highlight w:val="none"/>
                <w:lang w:val="en-US" w:eastAsia="zh-CN"/>
              </w:rPr>
              <w:t>2.符合gb19302发酵乳</w:t>
            </w:r>
            <w:r>
              <w:rPr>
                <w:rFonts w:hint="eastAsia" w:ascii="仿宋" w:hAnsi="仿宋" w:eastAsia="仿宋" w:cs="仿宋"/>
                <w:sz w:val="20"/>
                <w:szCs w:val="22"/>
                <w:highlight w:val="none"/>
              </w:rPr>
              <w:t>标准或国家最新标准</w:t>
            </w:r>
          </w:p>
          <w:p w14:paraId="5718CB38">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color w:val="auto"/>
                <w:sz w:val="21"/>
                <w:szCs w:val="21"/>
              </w:rPr>
            </w:pPr>
            <w:r>
              <w:rPr>
                <w:rFonts w:hint="eastAsia" w:ascii="仿宋" w:hAnsi="仿宋" w:eastAsia="仿宋" w:cs="仿宋"/>
                <w:sz w:val="20"/>
                <w:szCs w:val="22"/>
                <w:highlight w:val="none"/>
                <w:lang w:val="en-US" w:eastAsia="zh-CN"/>
              </w:rPr>
              <w:t>3.</w:t>
            </w:r>
            <w:r>
              <w:rPr>
                <w:rFonts w:hint="eastAsia" w:ascii="仿宋" w:hAnsi="仿宋" w:eastAsia="仿宋" w:cs="仿宋"/>
                <w:sz w:val="20"/>
                <w:szCs w:val="22"/>
                <w:highlight w:val="none"/>
              </w:rPr>
              <w:t>霉菌</w:t>
            </w:r>
            <w:r>
              <w:rPr>
                <w:rFonts w:hint="eastAsia" w:ascii="仿宋" w:hAnsi="仿宋" w:eastAsia="仿宋" w:cs="仿宋"/>
                <w:sz w:val="20"/>
                <w:szCs w:val="22"/>
                <w:highlight w:val="none"/>
                <w:lang w:eastAsia="zh-CN"/>
              </w:rPr>
              <w:t>，</w:t>
            </w:r>
            <w:r>
              <w:rPr>
                <w:rFonts w:hint="eastAsia" w:ascii="仿宋" w:hAnsi="仿宋" w:eastAsia="仿宋" w:cs="仿宋"/>
                <w:sz w:val="20"/>
                <w:szCs w:val="22"/>
                <w:highlight w:val="none"/>
              </w:rPr>
              <w:t>黄曲霉毒素</w:t>
            </w:r>
            <w:r>
              <w:rPr>
                <w:rFonts w:hint="eastAsia" w:ascii="仿宋" w:hAnsi="仿宋" w:eastAsia="仿宋" w:cs="仿宋"/>
                <w:sz w:val="20"/>
                <w:szCs w:val="22"/>
                <w:highlight w:val="none"/>
                <w:lang w:eastAsia="zh-CN"/>
              </w:rPr>
              <w:t>，</w:t>
            </w:r>
            <w:r>
              <w:rPr>
                <w:rFonts w:hint="eastAsia" w:ascii="仿宋" w:hAnsi="仿宋" w:eastAsia="仿宋" w:cs="仿宋"/>
                <w:sz w:val="20"/>
                <w:szCs w:val="22"/>
                <w:highlight w:val="none"/>
              </w:rPr>
              <w:t>沙门氏菌</w:t>
            </w:r>
            <w:r>
              <w:rPr>
                <w:rFonts w:hint="eastAsia" w:ascii="仿宋" w:hAnsi="仿宋" w:eastAsia="仿宋" w:cs="仿宋"/>
                <w:sz w:val="20"/>
                <w:szCs w:val="22"/>
                <w:highlight w:val="none"/>
                <w:lang w:eastAsia="zh-CN"/>
              </w:rPr>
              <w:t>，</w:t>
            </w:r>
            <w:r>
              <w:rPr>
                <w:rFonts w:hint="eastAsia" w:ascii="仿宋" w:hAnsi="仿宋" w:eastAsia="仿宋" w:cs="仿宋"/>
                <w:sz w:val="20"/>
                <w:szCs w:val="22"/>
                <w:highlight w:val="none"/>
              </w:rPr>
              <w:t>金黄色葡萄球菌</w:t>
            </w:r>
            <w:r>
              <w:rPr>
                <w:rFonts w:hint="eastAsia" w:ascii="仿宋" w:hAnsi="仿宋" w:eastAsia="仿宋" w:cs="仿宋"/>
                <w:sz w:val="20"/>
                <w:szCs w:val="22"/>
                <w:highlight w:val="none"/>
                <w:lang w:val="en-US" w:eastAsia="zh-CN"/>
              </w:rPr>
              <w:t>均符合国家标准</w:t>
            </w:r>
            <w:r>
              <w:rPr>
                <w:rFonts w:hint="eastAsia" w:ascii="仿宋" w:hAnsi="仿宋" w:eastAsia="仿宋" w:cs="仿宋"/>
                <w:sz w:val="20"/>
                <w:szCs w:val="22"/>
                <w:highlight w:val="none"/>
              </w:rPr>
              <w:t>(提供第三方检测报告或其他证明材料)</w:t>
            </w:r>
          </w:p>
        </w:tc>
        <w:tc>
          <w:tcPr>
            <w:tcW w:w="1349" w:type="dxa"/>
            <w:noWrap w:val="0"/>
            <w:vAlign w:val="top"/>
          </w:tcPr>
          <w:p w14:paraId="6DD490DB">
            <w:pPr>
              <w:spacing w:line="500" w:lineRule="exact"/>
              <w:jc w:val="center"/>
              <w:rPr>
                <w:rFonts w:hint="eastAsia" w:asciiTheme="minorEastAsia" w:hAnsiTheme="minorEastAsia" w:eastAsiaTheme="minorEastAsia" w:cstheme="minorEastAsia"/>
                <w:color w:val="auto"/>
                <w:sz w:val="21"/>
                <w:szCs w:val="21"/>
              </w:rPr>
            </w:pPr>
          </w:p>
        </w:tc>
        <w:tc>
          <w:tcPr>
            <w:tcW w:w="1234" w:type="dxa"/>
            <w:noWrap w:val="0"/>
            <w:vAlign w:val="top"/>
          </w:tcPr>
          <w:p w14:paraId="2A6BB406">
            <w:pPr>
              <w:spacing w:line="500" w:lineRule="exact"/>
              <w:jc w:val="center"/>
              <w:rPr>
                <w:rFonts w:hint="eastAsia" w:asciiTheme="minorEastAsia" w:hAnsiTheme="minorEastAsia" w:eastAsiaTheme="minorEastAsia" w:cstheme="minorEastAsia"/>
                <w:color w:val="auto"/>
                <w:sz w:val="21"/>
                <w:szCs w:val="21"/>
              </w:rPr>
            </w:pPr>
          </w:p>
        </w:tc>
      </w:tr>
      <w:tr w14:paraId="0DF58A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45" w:hRule="atLeast"/>
          <w:jc w:val="center"/>
        </w:trPr>
        <w:tc>
          <w:tcPr>
            <w:tcW w:w="705" w:type="dxa"/>
            <w:tcBorders>
              <w:top w:val="single" w:color="auto" w:sz="4" w:space="0"/>
              <w:left w:val="single" w:color="auto" w:sz="4" w:space="0"/>
              <w:bottom w:val="single" w:color="auto" w:sz="4" w:space="0"/>
            </w:tcBorders>
            <w:noWrap w:val="0"/>
            <w:vAlign w:val="center"/>
          </w:tcPr>
          <w:p w14:paraId="7D66EFF6">
            <w:pPr>
              <w:spacing w:line="5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5</w:t>
            </w:r>
          </w:p>
        </w:tc>
        <w:tc>
          <w:tcPr>
            <w:tcW w:w="1143" w:type="dxa"/>
            <w:noWrap w:val="0"/>
            <w:vAlign w:val="top"/>
          </w:tcPr>
          <w:p w14:paraId="24658841">
            <w:pPr>
              <w:spacing w:line="500" w:lineRule="exact"/>
              <w:jc w:val="center"/>
              <w:rPr>
                <w:rFonts w:hint="eastAsia" w:ascii="宋体" w:hAnsi="宋体" w:eastAsia="宋体" w:cs="宋体"/>
                <w:color w:val="auto"/>
                <w:sz w:val="21"/>
                <w:szCs w:val="21"/>
              </w:rPr>
            </w:pPr>
            <w:bookmarkStart w:id="0" w:name="_GoBack"/>
            <w:bookmarkEnd w:id="0"/>
          </w:p>
        </w:tc>
        <w:tc>
          <w:tcPr>
            <w:tcW w:w="4842" w:type="dxa"/>
            <w:noWrap w:val="0"/>
            <w:vAlign w:val="top"/>
          </w:tcPr>
          <w:p w14:paraId="149F3DFF">
            <w:pPr>
              <w:spacing w:line="500" w:lineRule="exact"/>
              <w:jc w:val="center"/>
              <w:rPr>
                <w:rFonts w:hint="eastAsia" w:ascii="宋体" w:hAnsi="宋体" w:eastAsia="宋体" w:cs="宋体"/>
                <w:color w:val="auto"/>
                <w:sz w:val="21"/>
                <w:szCs w:val="21"/>
              </w:rPr>
            </w:pPr>
          </w:p>
        </w:tc>
        <w:tc>
          <w:tcPr>
            <w:tcW w:w="1349" w:type="dxa"/>
            <w:noWrap w:val="0"/>
            <w:vAlign w:val="top"/>
          </w:tcPr>
          <w:p w14:paraId="2C95D01E">
            <w:pPr>
              <w:spacing w:line="500" w:lineRule="exact"/>
              <w:jc w:val="center"/>
              <w:rPr>
                <w:rFonts w:hint="eastAsia" w:ascii="宋体" w:hAnsi="宋体" w:eastAsia="宋体" w:cs="宋体"/>
                <w:color w:val="auto"/>
                <w:sz w:val="21"/>
                <w:szCs w:val="21"/>
              </w:rPr>
            </w:pPr>
          </w:p>
        </w:tc>
        <w:tc>
          <w:tcPr>
            <w:tcW w:w="1234" w:type="dxa"/>
            <w:noWrap w:val="0"/>
            <w:vAlign w:val="top"/>
          </w:tcPr>
          <w:p w14:paraId="17E579E0">
            <w:pPr>
              <w:spacing w:line="500" w:lineRule="exact"/>
              <w:jc w:val="center"/>
              <w:rPr>
                <w:rFonts w:hint="eastAsia" w:ascii="宋体" w:hAnsi="宋体" w:eastAsia="宋体" w:cs="宋体"/>
                <w:color w:val="auto"/>
                <w:sz w:val="21"/>
                <w:szCs w:val="21"/>
              </w:rPr>
            </w:pPr>
          </w:p>
        </w:tc>
      </w:tr>
      <w:tr w14:paraId="3D0F06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45" w:hRule="atLeast"/>
          <w:jc w:val="center"/>
        </w:trPr>
        <w:tc>
          <w:tcPr>
            <w:tcW w:w="705" w:type="dxa"/>
            <w:tcBorders>
              <w:top w:val="single" w:color="auto" w:sz="4" w:space="0"/>
              <w:left w:val="single" w:color="auto" w:sz="4" w:space="0"/>
              <w:bottom w:val="single" w:color="auto" w:sz="4" w:space="0"/>
            </w:tcBorders>
            <w:noWrap w:val="0"/>
            <w:vAlign w:val="center"/>
          </w:tcPr>
          <w:p w14:paraId="78336BD2">
            <w:pPr>
              <w:spacing w:line="5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w:t>
            </w:r>
          </w:p>
        </w:tc>
        <w:tc>
          <w:tcPr>
            <w:tcW w:w="1143" w:type="dxa"/>
            <w:noWrap w:val="0"/>
            <w:vAlign w:val="top"/>
          </w:tcPr>
          <w:p w14:paraId="4F9AF6EE">
            <w:pPr>
              <w:spacing w:line="500" w:lineRule="exact"/>
              <w:jc w:val="center"/>
              <w:rPr>
                <w:rFonts w:hint="eastAsia" w:ascii="宋体" w:hAnsi="宋体" w:eastAsia="宋体" w:cs="宋体"/>
                <w:color w:val="auto"/>
                <w:sz w:val="21"/>
                <w:szCs w:val="21"/>
              </w:rPr>
            </w:pPr>
          </w:p>
        </w:tc>
        <w:tc>
          <w:tcPr>
            <w:tcW w:w="4842" w:type="dxa"/>
            <w:noWrap w:val="0"/>
            <w:vAlign w:val="top"/>
          </w:tcPr>
          <w:p w14:paraId="1C19F8EF">
            <w:pPr>
              <w:spacing w:line="500" w:lineRule="exact"/>
              <w:jc w:val="center"/>
              <w:rPr>
                <w:rFonts w:hint="eastAsia" w:ascii="宋体" w:hAnsi="宋体" w:eastAsia="宋体" w:cs="宋体"/>
                <w:color w:val="auto"/>
                <w:sz w:val="21"/>
                <w:szCs w:val="21"/>
              </w:rPr>
            </w:pPr>
          </w:p>
        </w:tc>
        <w:tc>
          <w:tcPr>
            <w:tcW w:w="1349" w:type="dxa"/>
            <w:noWrap w:val="0"/>
            <w:vAlign w:val="top"/>
          </w:tcPr>
          <w:p w14:paraId="7FB35A62">
            <w:pPr>
              <w:spacing w:line="500" w:lineRule="exact"/>
              <w:jc w:val="center"/>
              <w:rPr>
                <w:rFonts w:hint="eastAsia" w:ascii="宋体" w:hAnsi="宋体" w:eastAsia="宋体" w:cs="宋体"/>
                <w:color w:val="auto"/>
                <w:sz w:val="21"/>
                <w:szCs w:val="21"/>
              </w:rPr>
            </w:pPr>
          </w:p>
        </w:tc>
        <w:tc>
          <w:tcPr>
            <w:tcW w:w="1234" w:type="dxa"/>
            <w:noWrap w:val="0"/>
            <w:vAlign w:val="top"/>
          </w:tcPr>
          <w:p w14:paraId="3A0DB874">
            <w:pPr>
              <w:spacing w:line="500" w:lineRule="exact"/>
              <w:jc w:val="center"/>
              <w:rPr>
                <w:rFonts w:hint="eastAsia" w:ascii="宋体" w:hAnsi="宋体" w:eastAsia="宋体" w:cs="宋体"/>
                <w:color w:val="auto"/>
                <w:sz w:val="21"/>
                <w:szCs w:val="21"/>
              </w:rPr>
            </w:pPr>
          </w:p>
        </w:tc>
      </w:tr>
    </w:tbl>
    <w:p w14:paraId="3EA58832">
      <w:pPr>
        <w:rPr>
          <w:rFonts w:hint="eastAsia" w:ascii="宋体" w:hAnsi="宋体" w:eastAsia="宋体" w:cs="宋体"/>
          <w:color w:val="auto"/>
          <w:sz w:val="24"/>
          <w:szCs w:val="24"/>
        </w:rPr>
      </w:pPr>
    </w:p>
    <w:p w14:paraId="0DDA0075">
      <w:pPr>
        <w:pStyle w:val="2"/>
        <w:keepNext w:val="0"/>
        <w:keepLines w:val="0"/>
        <w:pageBreakBefore w:val="0"/>
        <w:widowControl w:val="0"/>
        <w:kinsoku/>
        <w:wordWrap/>
        <w:overflowPunct/>
        <w:topLinePunct w:val="0"/>
        <w:autoSpaceDE/>
        <w:autoSpaceDN/>
        <w:bidi w:val="0"/>
        <w:adjustRightInd/>
        <w:snapToGrid/>
        <w:ind w:left="0"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注：1.</w:t>
      </w:r>
      <w:r>
        <w:rPr>
          <w:rFonts w:hint="eastAsia" w:ascii="宋体" w:hAnsi="宋体" w:eastAsia="宋体" w:cs="宋体"/>
          <w:b w:val="0"/>
          <w:bCs w:val="0"/>
          <w:color w:val="auto"/>
          <w:sz w:val="24"/>
          <w:szCs w:val="24"/>
          <w:lang w:eastAsia="zh-CN"/>
        </w:rPr>
        <w:t>投标人</w:t>
      </w:r>
      <w:r>
        <w:rPr>
          <w:rFonts w:hint="eastAsia" w:ascii="宋体" w:hAnsi="宋体" w:eastAsia="宋体" w:cs="宋体"/>
          <w:b w:val="0"/>
          <w:bCs w:val="0"/>
          <w:color w:val="auto"/>
          <w:sz w:val="24"/>
          <w:szCs w:val="24"/>
        </w:rPr>
        <w:t>根据招标文件的“招标项目技术、服务及其他要求”填写此表。在偏离</w:t>
      </w:r>
      <w:r>
        <w:rPr>
          <w:rFonts w:hint="eastAsia" w:ascii="宋体" w:hAnsi="宋体" w:eastAsia="宋体" w:cs="宋体"/>
          <w:b w:val="0"/>
          <w:bCs w:val="0"/>
          <w:color w:val="auto"/>
          <w:sz w:val="24"/>
          <w:szCs w:val="24"/>
          <w:lang w:val="en-US" w:eastAsia="zh-CN"/>
        </w:rPr>
        <w:t>说明</w:t>
      </w:r>
      <w:r>
        <w:rPr>
          <w:rFonts w:hint="eastAsia" w:ascii="宋体" w:hAnsi="宋体" w:eastAsia="宋体" w:cs="宋体"/>
          <w:b w:val="0"/>
          <w:bCs w:val="0"/>
          <w:color w:val="auto"/>
          <w:sz w:val="24"/>
          <w:szCs w:val="24"/>
        </w:rPr>
        <w:t>项，必须注明“正偏离”、“负偏离”或“完全响应”，</w:t>
      </w:r>
      <w:r>
        <w:rPr>
          <w:rFonts w:hint="eastAsia" w:ascii="宋体" w:hAnsi="宋体" w:eastAsia="宋体" w:cs="宋体"/>
          <w:b w:val="0"/>
          <w:bCs w:val="0"/>
          <w:color w:val="auto"/>
          <w:sz w:val="24"/>
          <w:szCs w:val="24"/>
          <w:lang w:val="en-US" w:eastAsia="zh-CN"/>
        </w:rPr>
        <w:t>如有偏离须</w:t>
      </w:r>
      <w:r>
        <w:rPr>
          <w:rFonts w:hint="eastAsia" w:ascii="宋体" w:hAnsi="宋体" w:eastAsia="宋体" w:cs="宋体"/>
          <w:b w:val="0"/>
          <w:bCs w:val="0"/>
          <w:color w:val="auto"/>
          <w:sz w:val="24"/>
          <w:szCs w:val="24"/>
        </w:rPr>
        <w:t>予以说明。</w:t>
      </w:r>
    </w:p>
    <w:p w14:paraId="6BDAB1BD">
      <w:pPr>
        <w:pStyle w:val="2"/>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投标单位</w:t>
      </w:r>
      <w:r>
        <w:rPr>
          <w:rFonts w:hint="eastAsia" w:ascii="宋体" w:hAnsi="宋体" w:eastAsia="宋体" w:cs="宋体"/>
          <w:b w:val="0"/>
          <w:bCs w:val="0"/>
          <w:color w:val="auto"/>
          <w:sz w:val="24"/>
          <w:szCs w:val="24"/>
        </w:rPr>
        <w:t>实际存在偏离，但</w:t>
      </w:r>
      <w:r>
        <w:rPr>
          <w:rFonts w:hint="eastAsia" w:ascii="宋体" w:hAnsi="宋体" w:eastAsia="宋体" w:cs="宋体"/>
          <w:b w:val="0"/>
          <w:bCs w:val="0"/>
          <w:color w:val="auto"/>
          <w:sz w:val="24"/>
          <w:szCs w:val="24"/>
          <w:lang w:eastAsia="zh-CN"/>
        </w:rPr>
        <w:t>投标人</w:t>
      </w:r>
      <w:r>
        <w:rPr>
          <w:rFonts w:hint="eastAsia" w:ascii="宋体" w:hAnsi="宋体" w:eastAsia="宋体" w:cs="宋体"/>
          <w:b w:val="0"/>
          <w:bCs w:val="0"/>
          <w:color w:val="auto"/>
          <w:sz w:val="24"/>
          <w:szCs w:val="24"/>
        </w:rPr>
        <w:t>未在偏离表中注明的，视为无偏离，应当按照招标文件的规定执行。</w:t>
      </w:r>
      <w:r>
        <w:rPr>
          <w:rFonts w:hint="eastAsia" w:ascii="宋体" w:hAnsi="宋体" w:eastAsia="宋体" w:cs="宋体"/>
          <w:b w:val="0"/>
          <w:bCs w:val="0"/>
          <w:color w:val="auto"/>
          <w:sz w:val="24"/>
          <w:szCs w:val="24"/>
          <w:lang w:val="en-US" w:eastAsia="zh-CN"/>
        </w:rPr>
        <w:t>中标</w:t>
      </w:r>
      <w:r>
        <w:rPr>
          <w:rFonts w:hint="eastAsia" w:ascii="宋体" w:hAnsi="宋体" w:eastAsia="宋体" w:cs="宋体"/>
          <w:b w:val="0"/>
          <w:bCs w:val="0"/>
          <w:color w:val="auto"/>
          <w:sz w:val="24"/>
          <w:szCs w:val="24"/>
        </w:rPr>
        <w:t>供应商在签订合同时，不得以任何理由进行抗辩。</w:t>
      </w:r>
    </w:p>
    <w:p w14:paraId="17AA10E5">
      <w:pPr>
        <w:pStyle w:val="2"/>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以上表格格式行、列可增减。</w:t>
      </w:r>
    </w:p>
    <w:p w14:paraId="1C945C45">
      <w:pPr>
        <w:snapToGrid w:val="0"/>
        <w:spacing w:line="360" w:lineRule="auto"/>
        <w:ind w:firstLine="482" w:firstLineChars="200"/>
        <w:rPr>
          <w:rFonts w:hint="eastAsia" w:ascii="宋体" w:hAnsi="宋体" w:eastAsia="宋体" w:cs="宋体"/>
          <w:b/>
          <w:bCs/>
          <w:color w:val="auto"/>
          <w:sz w:val="24"/>
          <w:szCs w:val="24"/>
        </w:rPr>
      </w:pPr>
    </w:p>
    <w:p w14:paraId="53FDEF7A">
      <w:pPr>
        <w:pStyle w:val="8"/>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bCs/>
          <w:caps/>
          <w:color w:val="auto"/>
          <w:sz w:val="24"/>
          <w:szCs w:val="24"/>
        </w:rPr>
      </w:pPr>
      <w:r>
        <w:rPr>
          <w:rFonts w:hint="eastAsia" w:ascii="宋体" w:hAnsi="宋体" w:eastAsia="宋体" w:cs="宋体"/>
          <w:bCs/>
          <w:caps/>
          <w:color w:val="auto"/>
          <w:sz w:val="24"/>
          <w:szCs w:val="24"/>
          <w:lang w:val="en-US" w:eastAsia="zh-CN"/>
        </w:rPr>
        <w:t>投标人名称</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lang w:val="en-US" w:eastAsia="zh-CN"/>
        </w:rPr>
        <w:t>盖章</w:t>
      </w:r>
      <w:r>
        <w:rPr>
          <w:rFonts w:hint="eastAsia" w:ascii="宋体" w:hAnsi="宋体" w:eastAsia="宋体" w:cs="宋体"/>
          <w:bCs/>
          <w:caps/>
          <w:color w:val="auto"/>
          <w:sz w:val="24"/>
          <w:szCs w:val="24"/>
        </w:rPr>
        <w:t>)</w:t>
      </w:r>
    </w:p>
    <w:p w14:paraId="0BE3899A">
      <w:pPr>
        <w:pStyle w:val="8"/>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bCs/>
          <w:caps/>
          <w:color w:val="auto"/>
          <w:sz w:val="24"/>
          <w:szCs w:val="24"/>
        </w:rPr>
      </w:pPr>
      <w:r>
        <w:rPr>
          <w:rFonts w:hint="eastAsia" w:ascii="宋体" w:hAnsi="宋体" w:eastAsia="宋体" w:cs="宋体"/>
          <w:bCs/>
          <w:caps/>
          <w:color w:val="auto"/>
          <w:sz w:val="24"/>
          <w:szCs w:val="24"/>
        </w:rPr>
        <w:t>法定代表人或被授权人：</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(签字或盖章)</w:t>
      </w:r>
    </w:p>
    <w:p w14:paraId="354C9222">
      <w:pPr>
        <w:pStyle w:val="8"/>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bCs/>
          <w:caps/>
          <w:color w:val="auto"/>
          <w:sz w:val="24"/>
          <w:szCs w:val="24"/>
        </w:rPr>
      </w:pPr>
      <w:r>
        <w:rPr>
          <w:rFonts w:hint="eastAsia" w:ascii="宋体" w:hAnsi="宋体" w:eastAsia="宋体" w:cs="宋体"/>
          <w:bCs/>
          <w:caps/>
          <w:color w:val="auto"/>
          <w:sz w:val="24"/>
          <w:szCs w:val="24"/>
        </w:rPr>
        <w:t>日   期：</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年</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月</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250FE4"/>
    <w:multiLevelType w:val="singleLevel"/>
    <w:tmpl w:val="9B250FE4"/>
    <w:lvl w:ilvl="0" w:tentative="0">
      <w:start w:val="2"/>
      <w:numFmt w:val="decimal"/>
      <w:lvlText w:val="%1."/>
      <w:lvlJc w:val="left"/>
      <w:pPr>
        <w:tabs>
          <w:tab w:val="left" w:pos="312"/>
        </w:tabs>
        <w:ind w:left="660"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405117"/>
    <w:rsid w:val="025A1717"/>
    <w:rsid w:val="0A971229"/>
    <w:rsid w:val="0F6E374D"/>
    <w:rsid w:val="14FC7B7E"/>
    <w:rsid w:val="1F0E4FEE"/>
    <w:rsid w:val="3CA615EA"/>
    <w:rsid w:val="45E85CE9"/>
    <w:rsid w:val="518A6A8A"/>
    <w:rsid w:val="60405117"/>
    <w:rsid w:val="614E41B0"/>
    <w:rsid w:val="750758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w:basedOn w:val="1"/>
    <w:next w:val="1"/>
    <w:qFormat/>
    <w:uiPriority w:val="0"/>
    <w:pPr>
      <w:spacing w:line="360" w:lineRule="auto"/>
    </w:pPr>
    <w:rPr>
      <w:rFonts w:ascii="仿宋_GB2312" w:eastAsia="仿宋_GB2312"/>
      <w:sz w:val="28"/>
    </w:rPr>
  </w:style>
  <w:style w:type="paragraph" w:styleId="4">
    <w:name w:val="footer"/>
    <w:basedOn w:val="1"/>
    <w:next w:val="1"/>
    <w:qFormat/>
    <w:uiPriority w:val="99"/>
    <w:pPr>
      <w:tabs>
        <w:tab w:val="center" w:pos="4153"/>
        <w:tab w:val="right" w:pos="8306"/>
      </w:tabs>
      <w:adjustRightInd w:val="0"/>
      <w:spacing w:line="240" w:lineRule="atLeast"/>
      <w:jc w:val="left"/>
      <w:textAlignment w:val="baseline"/>
    </w:pPr>
    <w:rPr>
      <w:kern w:val="0"/>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8">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1116</Words>
  <Characters>1178</Characters>
  <Lines>0</Lines>
  <Paragraphs>0</Paragraphs>
  <TotalTime>0</TotalTime>
  <ScaleCrop>false</ScaleCrop>
  <LinksUpToDate>false</LinksUpToDate>
  <CharactersWithSpaces>1287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2025-01-17T03:09:00Z</dcterms:created>
  <dc:creator>WPS_1694750927</dc:creator>
  <cp:lastModifiedBy>胡</cp:lastModifiedBy>
  <dcterms:modified xsi:type="dcterms:W3CDTF">2026-01-21T03:06:20Z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CFFEC88165FB45D5BE7C4E353438AD6C_13</vt:lpwstr>
  </property>
  <property fmtid="{D5CDD505-2E9C-101B-9397-08002B2CF9AE}" pid="4" name="KSOTemplateDocerSaveRecord">
    <vt:lpwstr>eyJoZGlkIjoiNTU1M2U3NTZhZTdlNjg2MTZjMzkwYWU0ZWEzMDQ0YjMiLCJ1c2VySWQiOiIzMDM2OTgzMjMifQ==</vt:lpwstr>
  </property>
</Properties>
</file>