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版本号：ZCSP-渭南市-2025-00920.1BD220260312001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（工程类）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渭南市军休机构政治文化环境及教育服务功能建设项目(三次)</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ZCSP-渭南市-2025-00920.1BD2</w:t>
      </w:r>
      <w:r>
        <w:br/>
      </w:r>
      <w:r>
        <w:br/>
      </w:r>
      <w:r>
        <w:br/>
      </w:r>
      <w:r>
        <w:br/>
      </w:r>
      <w:r>
        <w:br/>
      </w:r>
    </w:p>
    <w:p>
      <w:pPr>
        <w:pStyle w:val="null3"/>
        <w:jc w:val="center"/>
        <w:outlineLvl w:val="5"/>
      </w:pPr>
      <w:r>
        <w:rPr>
          <w:rFonts w:ascii="仿宋_GB2312" w:hAnsi="仿宋_GB2312" w:cs="仿宋_GB2312" w:eastAsia="仿宋_GB2312"/>
          <w:sz w:val="15"/>
          <w:b/>
        </w:rPr>
        <w:t>渭南市退役军人事务局</w:t>
      </w:r>
    </w:p>
    <w:p>
      <w:pPr>
        <w:pStyle w:val="null3"/>
        <w:jc w:val="center"/>
        <w:outlineLvl w:val="5"/>
      </w:pPr>
      <w:r>
        <w:rPr>
          <w:rFonts w:ascii="仿宋_GB2312" w:hAnsi="仿宋_GB2312" w:cs="仿宋_GB2312" w:eastAsia="仿宋_GB2312"/>
          <w:sz w:val="15"/>
          <w:b/>
        </w:rPr>
        <w:t>嘉翔项目管理有限公司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2026年03月12日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嘉翔项目管理有限公司</w:t>
      </w:r>
      <w:r>
        <w:rPr>
          <w:rFonts w:ascii="仿宋_GB2312" w:hAnsi="仿宋_GB2312" w:cs="仿宋_GB2312" w:eastAsia="仿宋_GB2312"/>
        </w:rPr>
        <w:t>（以下简称“代理机构”）受</w:t>
      </w:r>
      <w:r>
        <w:rPr>
          <w:rFonts w:ascii="仿宋_GB2312" w:hAnsi="仿宋_GB2312" w:cs="仿宋_GB2312" w:eastAsia="仿宋_GB2312"/>
        </w:rPr>
        <w:t>渭南市退役军人事务局</w:t>
      </w:r>
      <w:r>
        <w:rPr>
          <w:rFonts w:ascii="仿宋_GB2312" w:hAnsi="仿宋_GB2312" w:cs="仿宋_GB2312" w:eastAsia="仿宋_GB2312"/>
        </w:rPr>
        <w:t>委托，拟对</w:t>
      </w:r>
      <w:r>
        <w:rPr>
          <w:rFonts w:ascii="仿宋_GB2312" w:hAnsi="仿宋_GB2312" w:cs="仿宋_GB2312" w:eastAsia="仿宋_GB2312"/>
        </w:rPr>
        <w:t>渭南市军休机构政治文化环境及教育服务功能建设项目(三次)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ZCSP-渭南市-2025-00920.1BD2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渭南市军休机构政治文化环境及教育服务功能建设项目(三次)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文化长廊制作、荣誉室布展、视频制作、城连城舰共建展台等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采购包1（渭南市军休机构政治文化环境及教育服务功能建设项目）：属于专门面向中小企业采购。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1、企业资质：供应商具备建筑工程施工总承包三级及以上资质或建筑装饰装修工程专业承包二级及以上资质，具有有效的安全生产许可证；</w:t>
      </w:r>
    </w:p>
    <w:p>
      <w:pPr>
        <w:pStyle w:val="null3"/>
      </w:pPr>
      <w:r>
        <w:rPr>
          <w:rFonts w:ascii="仿宋_GB2312" w:hAnsi="仿宋_GB2312" w:cs="仿宋_GB2312" w:eastAsia="仿宋_GB2312"/>
        </w:rPr>
        <w:t>2、项目负责人：项目负责人具备建筑工程专业二级及以上建造师，具有有效的B类安全生产考核合格证，且无在建项目；</w:t>
      </w:r>
    </w:p>
    <w:p>
      <w:pPr>
        <w:pStyle w:val="null3"/>
      </w:pPr>
      <w:r>
        <w:rPr>
          <w:rFonts w:ascii="仿宋_GB2312" w:hAnsi="仿宋_GB2312" w:cs="仿宋_GB2312" w:eastAsia="仿宋_GB2312"/>
        </w:rPr>
        <w:t>3、信用信息：供应商不得为“信用中国”网站（www.creditchina.gov.cn）中列入失信被执行人和重大税收违法失信主体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4、非联合体投标书面声明：本项目不接受联合体投标（提供书面声明）。</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渭南市退役军人事务局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渭南市朝阳路中段民政服务大楼11楼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渭南市退役军人事务局经办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2550215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嘉翔项目管理有限公司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嘉翔项目管理有限公司</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17795675528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采购包1：839,300.00元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采购包1：839,300.00元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代理服务费收费标准：本项目收取代理服务费 代理服务费用收取对象：中标/成交供应商 代理服务费收费标准：参照国家计委印发的《招标代理服务收费管理暂行办法》（计价格[2002]1980号）和国家发展和改革委员会办公厅印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渭南市退役军人事务局</w:t>
      </w:r>
      <w:r>
        <w:rPr>
          <w:rFonts w:ascii="仿宋_GB2312" w:hAnsi="仿宋_GB2312" w:cs="仿宋_GB2312" w:eastAsia="仿宋_GB2312"/>
        </w:rPr>
        <w:t>和</w:t>
      </w:r>
      <w:r>
        <w:rPr>
          <w:rFonts w:ascii="仿宋_GB2312" w:hAnsi="仿宋_GB2312" w:cs="仿宋_GB2312" w:eastAsia="仿宋_GB2312"/>
        </w:rPr>
        <w:t>嘉翔项目管理有限公司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嘉翔项目管理有限公司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渭南市退役军人事务局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嘉翔项目管理有限公司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五、“电子协商”是指通过项目电子化交易系统在线完成资格性审查小组、协商小组组建，开展资格和符合性审查、比较与评价、出具评审报告、推荐成交候选供应商等活动。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任何政府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按合同要求验收</w:t>
      </w:r>
    </w:p>
    <w:p>
      <w:pPr>
        <w:pStyle w:val="null3"/>
        <w:ind w:firstLine="480"/>
        <w:jc w:val="left"/>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w:t>
      </w:r>
    </w:p>
    <w:p>
      <w:pPr>
        <w:pStyle w:val="null3"/>
        <w:ind w:firstLine="480"/>
        <w:jc w:val="left"/>
      </w:pPr>
      <w:r>
        <w:rPr>
          <w:rFonts w:ascii="仿宋_GB2312" w:hAnsi="仿宋_GB2312" w:cs="仿宋_GB2312" w:eastAsia="仿宋_GB2312"/>
        </w:rPr>
        <w:t xml:space="preserve"> 工程竣工经验收合格后，方可交付使用；未经验收或者验收不合格的，不得交付使用。</w:t>
      </w:r>
    </w:p>
    <w:p>
      <w:pPr>
        <w:pStyle w:val="null3"/>
        <w:ind w:firstLine="480"/>
        <w:jc w:val="left"/>
      </w:pPr>
      <w:r>
        <w:rPr>
          <w:rFonts w:ascii="仿宋_GB2312" w:hAnsi="仿宋_GB2312" w:cs="仿宋_GB2312" w:eastAsia="仿宋_GB2312"/>
        </w:rPr>
        <w:t xml:space="preserve"> 三、验收结果合格的，采购人应向成交供应商出具履约验收报告，成交供应商凭验收报告办理相关手续</w:t>
      </w:r>
    </w:p>
    <w:p>
      <w:pPr>
        <w:pStyle w:val="null3"/>
        <w:ind w:firstLine="480"/>
        <w:jc w:val="left"/>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嘉翔项目管理有限公司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嘉翔项目管理有限公司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嘉翔项目管理有限公司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标的名称：渭南市军休机构政治文化环境及教育服务功能建设项目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项目名称：渭南市军休机构政治文化环境及教育服务功能建设项目</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工程量清单:详见附件</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质量标准:达到国家及行业现行技术规范标准，符合国家及行业验收合格标准</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包含但不限于以下行业规范:现行的国家及陕西省有关建筑及建筑装饰工程设计相关专业规程、规范和规定。《建筑装饰装修工程质量验收标准》GB50210-2018《建筑设计防火规范》GB50016-2014(2018年版)《建筑内部装修设计防火规范》GB50222-2017《建筑装修防火设计材料手册》中国计划出版社《安全防范工程技术规范》GB50348-2018民用建筑设计统一标准》GB503522019《民用建筑工程室内环境污染控制规范》GB50325-2020《建筑环境通用规范》GB55016-20Z1《民用建筑照明设计标准》GB1133-90《建筑地面设计规范》GB50037-2013《民用建筑通用规范》GB55031-2022《建筑防火通用规范》GB55037-2022《无隆碍设计规范》GB50763-2012《既有建筑维护与改造通用规范》GB55022-2021注:若图纸中出现跟上述技术标准与规范不同之处，须以国家颁布最新规范为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本项目采用广联达云计价平台GCCP7.0版本号7.5000.23.2</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1.对于不允许偏离的实质性要求和条件，采购人或者代理机构应当在采购文件中规定，并以醒目的方式标明。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2.除相关法律或行政法规或规章要求供应商在响应或协商阶段提供检测报告的，不得要求供应商在响应、协商阶段提供检测报告，如确实需要检测报告，可要求供应商承诺在签订合同阶段或项目实施阶段提供。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jc w:val="left"/>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质量要求：符合国家现行有关施工质量验收规范“合格”要求 工期：自合同签订后90日历天。 成交结果公示发布后，成交供应商须向采购代理机构提供一正两副（和上传文件保持一致的）纸质投标（响应）文件用于备案及档案保存。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（1）提供合格有效的法人或者其他组织的营业执照等证明文件，自然人的身份证明；供应商是法人或其他组织的应提供营业执照等证明文件，供应商是自然人的应提供有效的自然人身份证明； （2）财务状况：提供2024年度经审计的财务报告（成立时间至提交投标文件截止时间不足一年的可提供成立后任意时段的资产负债表、利润表），或提交开标前六个月内银行出具的资信证明，或信用担保机构出具的投标担保函，或承诺书（以上四种形式的资料提供任何一种即可）；其他组织和自然人提供银行出具的资信证明或财务报表或承诺书 （3）税收缴纳证明：提供投标截止之日前近六个月内至少一个月的纳税证明或完税证明（增值税，印花税，城市维护建设费，企业所得税等一种或多种税种）或承诺书（以上三种形式的资料提供任何一种即可），依法免税的单位应提供相关证明材料； （4）社会保障资金缴纳证明：提供投标截止之日前近六个月内至少一个月的社会保障资金缴存单据或社保机构开具的社会保险参保缴费情况证明或承诺书（以上三种形式的资料提供任何一种即可），依法不需要缴纳社会保障资金的单位应提供相关证明材料； （5）提供具有履行合同所必需的设备和专业技术能力的承诺； （6）参加政府采购活动前3年内在经营活动中没有重大违法记录的书面声明； （7）具备法律、行政法规规定的其他条件(由供应商根据项目需求提供说明材料或者承诺)；供应商需在项目电子化交易系统中按要求填写《响应函》完成承诺并进行电子签章。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财务报告（成立时间至提交投标文件截止时间不足一年的可提供成立后任意时段的资产负债表、利润表），或提交开标前六个月内银行出具的资信证明，或信用担保机构出具的投标担保函，或承诺书（以上四种形式的资料提供任何一种即可）；其他组织和自然人提供银行出具的资信证明或财务报表或承诺书，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报价函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供应商具备建筑工程施工总承包三级及以上资质或建筑装饰装修工程专业承包二级及以上资质，具有有效的安全生产许可证；</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项目负责人具备建筑工程专业二级及以上建造师，具有有效的B类安全生产考核合格证，且无在建项目；</w:t>
            </w:r>
          </w:p>
        </w:tc>
        <w:tc>
          <w:tcPr>
            <w:tcW w:type="dxa" w:w="1661"/>
          </w:tcPr>
          <w:p>
            <w:pPr>
              <w:pStyle w:val="null3"/>
            </w:pPr>
            <w:r>
              <w:rPr>
                <w:rFonts w:ascii="仿宋_GB2312" w:hAnsi="仿宋_GB2312" w:cs="仿宋_GB2312" w:eastAsia="仿宋_GB2312"/>
              </w:rPr>
              <w:t>项目管理机构组成表 响应函 资格证明文件.docx 主要人员简历表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非联合体投标书面声明</w:t>
            </w:r>
          </w:p>
        </w:tc>
        <w:tc>
          <w:tcPr>
            <w:tcW w:type="dxa" w:w="3322"/>
          </w:tcPr>
          <w:p>
            <w:pPr>
              <w:pStyle w:val="null3"/>
            </w:pPr>
            <w:r>
              <w:rPr>
                <w:rFonts w:ascii="仿宋_GB2312" w:hAnsi="仿宋_GB2312" w:cs="仿宋_GB2312" w:eastAsia="仿宋_GB2312"/>
              </w:rPr>
              <w:t>本项目不接受联合体投标（提供书面声明）。</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一、根据《中华人民共和国政府采购法》《中华人民共和国政府采购法实施条例》《政府采购非招标采购方式管理办法》《陕西省政府采购评审工作规程（修订）》等法律规章，结合采购项目特点制定本办法。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协商小组认为供应商的报价明显低于其他实质性响应的供应商报价，有可能影响工程质量或者不能诚信履约的，应当要求其在合理的时间内提供书面说明，必要时提交相关证明材料；供应商不能证明其报价合理性的，谈判小组应当将其作为无效响应处理。 2.供应商通过项目电子化交易系统在协商小组要求的合理时间内提交说明，否则无效。</w:t>
            </w:r>
          </w:p>
        </w:tc>
        <w:tc>
          <w:tcPr>
            <w:tcW w:type="dxa" w:w="1661"/>
          </w:tcPr>
          <w:p>
            <w:pPr>
              <w:pStyle w:val="null3"/>
            </w:pPr>
            <w:r>
              <w:rPr>
                <w:rFonts w:ascii="仿宋_GB2312" w:hAnsi="仿宋_GB2312" w:cs="仿宋_GB2312" w:eastAsia="仿宋_GB2312"/>
              </w:rPr>
              <w:t>响应文件封面 报价函 标的清单 供应商类似项目业绩一览表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 已标价工程量清单 技术服务合同条款及其他商务要求应答表 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本项目授权协商小组直接确认成交供应商，确认后代理机构在陕西省政府采购网上发布成交结果公告，同时向成交供应商发出成交通知书。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