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版本号：ZCSP-渭南市-2026-00030、0617-2624FZ042220260319001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陕西省第十八届运动会2026年户外媒体（高速跨线桥）宣传项目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ZCSP-渭南市-2026-00030、0617-2624FZ0422</w:t>
      </w:r>
      <w:r>
        <w:br/>
      </w:r>
      <w:r>
        <w:br/>
      </w:r>
      <w:r>
        <w:br/>
      </w:r>
    </w:p>
    <w:p>
      <w:pPr>
        <w:pStyle w:val="null3"/>
        <w:jc w:val="center"/>
        <w:outlineLvl w:val="5"/>
      </w:pPr>
      <w:r>
        <w:rPr>
          <w:rFonts w:ascii="仿宋_GB2312" w:hAnsi="仿宋_GB2312" w:cs="仿宋_GB2312" w:eastAsia="仿宋_GB2312"/>
          <w:sz w:val="15"/>
          <w:b/>
        </w:rPr>
        <w:t>陕西省第十八届运动会筹委会办公室</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陕西省第十八届运动会2026年户外媒体（高速跨线桥）宣传项目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ZCSP-渭南市-2026-00030、0617-2624FZ0422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陕西省第十八届运动会2026年户外媒体（高速跨线桥）宣传项目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陕西省第十八届运动会2026年户外媒体（高速跨线桥）宣传项目，具体内容详见单一来源采购文件。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采购包1（陕西省第十八届运动会2026年户外媒体（高速跨线桥）宣传项目）：属于专门面向中小企业采购。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1、授权委托书/法定代表人身份：提供法定代表人授权书 (附法定代表人、被授权人身份证复印件) 或提供法定代表人身份证明及身份证复印件（法定代表人直接参加单一来源协商)。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协商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3、无控股、管理关系：单位负责人为同一人或者存在直接控股、管理关系的不同供应商，不得同时参加同一合同项下的政府采购活动。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139 0913 2202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任晓洁、徐西文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代理服务费收费标准：确定成交人后3个工作日内，由成交人参照国家计委《招标代理服务收费管理暂行办法》（计价格[2002]1980号文）规定的标准向招标代理机构一次付清招标代理服务费。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需执行的国家相关标准、行业标准、地方标准或者其他标准、规范，则统一执行最新标准、规范，符合项目实际采购需要，符合项目实施要求。由采购单位对项目交付成果组织验收，按采购文件、投标文件及澄清函、项目检查情况等综合指标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第十八届运动会2026年户外媒体（高速跨线桥）宣传项目，为进一步提升陕西省第十八届运动会（以下简称"省十八运"）的社会关注度与影响力，充分展现赛事风采，营造浓厚办赛氛围，助力体育事业发展与城市形象宣传，拟在连霍高速零口段K1000+610、华州段K967+530跨线桥投放省十八运相关广告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608,000.00</w:t>
      </w:r>
    </w:p>
    <w:p>
      <w:pPr>
        <w:pStyle w:val="null3"/>
      </w:pPr>
      <w:r>
        <w:rPr>
          <w:rFonts w:ascii="仿宋_GB2312" w:hAnsi="仿宋_GB2312" w:cs="仿宋_GB2312" w:eastAsia="仿宋_GB2312"/>
        </w:rPr>
        <w:t>采购包最高限价（元）: 608,000.00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2026年户外媒体（高速跨线桥）宣传项目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标的名称：2026年户外媒体（高速跨线桥）宣传项目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媒体形式：</w:t>
            </w:r>
            <w:r>
              <w:rPr>
                <w:rFonts w:ascii="仿宋_GB2312" w:hAnsi="仿宋_GB2312" w:cs="仿宋_GB2312" w:eastAsia="仿宋_GB2312"/>
                <w:sz w:val="21"/>
              </w:rPr>
              <w:t>高速跨线桥</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媒体位置</w:t>
            </w:r>
            <w:r>
              <w:rPr>
                <w:rFonts w:ascii="仿宋_GB2312" w:hAnsi="仿宋_GB2312" w:cs="仿宋_GB2312" w:eastAsia="仿宋_GB2312"/>
                <w:sz w:val="21"/>
              </w:rPr>
              <w:t>：</w:t>
            </w:r>
            <w:r>
              <w:rPr>
                <w:rFonts w:ascii="仿宋_GB2312" w:hAnsi="仿宋_GB2312" w:cs="仿宋_GB2312" w:eastAsia="仿宋_GB2312"/>
                <w:sz w:val="21"/>
              </w:rPr>
              <w:t>连霍高速零口段</w:t>
            </w:r>
            <w:r>
              <w:rPr>
                <w:rFonts w:ascii="仿宋_GB2312" w:hAnsi="仿宋_GB2312" w:cs="仿宋_GB2312" w:eastAsia="仿宋_GB2312"/>
                <w:sz w:val="21"/>
              </w:rPr>
              <w:t>K1000+610、</w:t>
            </w:r>
            <w:r>
              <w:rPr>
                <w:rFonts w:ascii="仿宋_GB2312" w:hAnsi="仿宋_GB2312" w:cs="仿宋_GB2312" w:eastAsia="仿宋_GB2312"/>
                <w:sz w:val="21"/>
              </w:rPr>
              <w:t>华州段</w:t>
            </w:r>
            <w:r>
              <w:rPr>
                <w:rFonts w:ascii="仿宋_GB2312" w:hAnsi="仿宋_GB2312" w:cs="仿宋_GB2312" w:eastAsia="仿宋_GB2312"/>
                <w:sz w:val="21"/>
              </w:rPr>
              <w:t>K967+530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媒体尺寸</w:t>
            </w:r>
            <w:r>
              <w:rPr>
                <w:rFonts w:ascii="仿宋_GB2312" w:hAnsi="仿宋_GB2312" w:cs="仿宋_GB2312" w:eastAsia="仿宋_GB2312"/>
                <w:sz w:val="21"/>
              </w:rPr>
              <w:t>/数量：</w:t>
            </w:r>
          </w:p>
          <w:p>
            <w:pPr>
              <w:pStyle w:val="null3"/>
              <w:ind w:firstLine="200"/>
            </w:pPr>
            <w:r>
              <w:rPr>
                <w:rFonts w:ascii="仿宋_GB2312" w:hAnsi="仿宋_GB2312" w:cs="仿宋_GB2312" w:eastAsia="仿宋_GB2312"/>
                <w:sz w:val="21"/>
              </w:rPr>
              <w:t>连霍高速零口段K1000+610：70m*4m*2面</w:t>
            </w:r>
          </w:p>
          <w:p>
            <w:pPr>
              <w:pStyle w:val="null3"/>
            </w:pPr>
            <w:r>
              <w:rPr>
                <w:rFonts w:ascii="仿宋_GB2312" w:hAnsi="仿宋_GB2312" w:cs="仿宋_GB2312" w:eastAsia="仿宋_GB2312"/>
                <w:sz w:val="21"/>
              </w:rPr>
              <w:t xml:space="preserve">   连霍高速华州段K967+530：60m*4m*2面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服务期间更换画布一次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合同签订之日起6个自然月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连霍高速零口段K1000+610、华州段K967+530</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画面上刊验收合格后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服务四个月后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则统一执行最新标准、规范，符合项目实际采购需要，符合项目实施要求。由采购单位对项目交付成果组织验收，按采购文件、投标文件及澄清函、项目检查情况等综合指标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本项目采购活动执行下列政府采购政策：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（14）《国务院办公厅关于在政府采购中实施本国产品标准及相关政策的通知》国办发〔2025〕34号； （15）《关于推动解决政府采购异常低价问题的通知》（财库〔2026〕2号）； （16）其他需执行的政府采购政策。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缴费所属日期为响应文件递交截止时间前12个月内任一月份（响应文件递交截止时间当月不计入）的增值税（或所得税）缴费凭据或税务机关出具的完税证明/在法规范围内不需提供的应出具书面说明和证明文件；/或具有依法缴纳税收的诚信声明；以上二种形式的资料提供任何一种即可；3.提供缴费所属日期为响应文件递交截止时间前12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资格部分.docx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或提供法定代表人身份证明及身份证复印件（法定代表人直接参加单一来源协商)。</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协商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资格部分.docx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残疾人福利性单位及监狱企业视同为小型、微型企业），仅限符合《政府采购促进中小企业发展暂行办法》（财库〔2020〕46号）条件的中小企业参与，供应商应填写中小企业声明函并对真实性负责；若供应商为残疾人福利性单位的，提供《残疾人福利性单位声明函》原件；若供应商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投标人按照单一来源采购文件要求上传响应文件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资格部分.docx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协商小组认为供应商投标报价明显低于其他通过符合性审查供应商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资格部分.docx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供应商按照单一来源采购要求上传响应文件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资格部分.docx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1.否按照单一来源采购文件要求的格式编写； 2.是否有重大缺漏项</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资格部分.docx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1.响应文件的签署、加盖印章是否有效； 2.提供的各种证明文件、数据、资料是否有效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资格部分.docx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1.是否未超过采购预算； 2.有效期是否符合单一来源采购文件的要求； 3.付款方式、服务期是否满足单一来源采购文件要求。</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标的清单 报价表 资格部分.docx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异常低价投标（响应）审查</w:t>
            </w:r>
          </w:p>
        </w:tc>
        <w:tc>
          <w:tcPr>
            <w:tcW w:type="dxa" w:w="3322"/>
          </w:tcPr>
          <w:p>
            <w:pPr>
              <w:pStyle w:val="null3"/>
            </w:pPr>
            <w:r>
              <w:rPr>
                <w:rFonts w:ascii="仿宋_GB2312" w:hAnsi="仿宋_GB2312" w:cs="仿宋_GB2312" w:eastAsia="仿宋_GB2312"/>
              </w:rPr>
              <w:t>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