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版本号：ZCSP-渭南市-2026-0003220260319001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2026年度站内安全秩序维护员和保洁员服务采购项目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ZCSP-渭南市-2026-00032</w:t>
      </w:r>
      <w:r>
        <w:br/>
      </w:r>
      <w:r>
        <w:br/>
      </w:r>
      <w:r>
        <w:br/>
      </w:r>
    </w:p>
    <w:p>
      <w:pPr>
        <w:pStyle w:val="null3"/>
        <w:jc w:val="center"/>
        <w:outlineLvl w:val="2"/>
      </w:pPr>
      <w:r>
        <w:rPr>
          <w:rFonts w:ascii="仿宋_GB2312" w:hAnsi="仿宋_GB2312" w:cs="仿宋_GB2312" w:eastAsia="仿宋_GB2312"/>
          <w:sz w:val="28"/>
          <w:b/>
        </w:rPr>
        <w:t>渭南市救助管理站</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渭南市救助管理站</w:t>
      </w:r>
      <w:r>
        <w:rPr>
          <w:rFonts w:ascii="仿宋_GB2312" w:hAnsi="仿宋_GB2312" w:cs="仿宋_GB2312" w:eastAsia="仿宋_GB2312"/>
        </w:rPr>
        <w:t>委托，拟对</w:t>
      </w:r>
      <w:r>
        <w:rPr>
          <w:rFonts w:ascii="仿宋_GB2312" w:hAnsi="仿宋_GB2312" w:cs="仿宋_GB2312" w:eastAsia="仿宋_GB2312"/>
        </w:rPr>
        <w:t>2026年度站内安全秩序维护员和保洁员服务采购项目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2026年度站内安全秩序维护员和保洁员服务采购项目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拟采购2026年度站内安全秩序维护员、保洁服务人员共计9人，其中安全秩序维护员5人（预增加1名女性安全秩序维护员）、保洁服务人员4名（预增加1名保洁员)。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采购包1（2026年度站内安全秩序维护员和保洁员服务采购项目）：属于专门面向中小企业采购。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半年内任意一个月的本单位社保缴纳证明）；</w:t>
      </w:r>
    </w:p>
    <w:p>
      <w:pPr>
        <w:pStyle w:val="null3"/>
      </w:pPr>
      <w:r>
        <w:rPr>
          <w:rFonts w:ascii="仿宋_GB2312" w:hAnsi="仿宋_GB2312" w:cs="仿宋_GB2312" w:eastAsia="仿宋_GB2312"/>
        </w:rPr>
        <w:t>2、信用信息：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pPr>
        <w:pStyle w:val="null3"/>
      </w:pPr>
      <w:r>
        <w:rPr>
          <w:rFonts w:ascii="仿宋_GB2312" w:hAnsi="仿宋_GB2312" w:cs="仿宋_GB2312" w:eastAsia="仿宋_GB2312"/>
        </w:rPr>
        <w:t>3、联合体投标：本项目不接受联合体投标。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渭南市救助管理站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渭南市临渭区三贤路中段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郑广帅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0913-2930266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陕西省渭南市临渭区渭南市朝阳大街审计大楼八层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0913-2028188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开户名称：长安银行股份有限公司渭南分行</w:t>
            </w:r>
          </w:p>
          <w:p>
            <w:pPr>
              <w:pStyle w:val="null3"/>
            </w:pPr>
            <w:r>
              <w:rPr>
                <w:rFonts w:ascii="仿宋_GB2312" w:hAnsi="仿宋_GB2312" w:cs="仿宋_GB2312" w:eastAsia="仿宋_GB2312"/>
              </w:rPr>
              <w:t>开户银行：陕西金合建设项目管理有限公司</w:t>
            </w:r>
          </w:p>
          <w:p>
            <w:pPr>
              <w:pStyle w:val="null3"/>
            </w:pPr>
            <w:r>
              <w:rPr>
                <w:rFonts w:ascii="仿宋_GB2312" w:hAnsi="仿宋_GB2312" w:cs="仿宋_GB2312" w:eastAsia="仿宋_GB2312"/>
              </w:rPr>
              <w:t>银行账号：60001015201090000920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以及国家发改价格〔2011〕534号文件”的标准计取，按照成交金额为基数计算采购代理服务费，由成交供应商一次性支付代理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渭南市救助管理站</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渭南市救助管理站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渭南市救助管理站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1.符合相关行业规范和采购要求，达到合格标准。 2.周期：月/季度考核（针对日常工作职责）+季度考核（针对组织机构及制度建设的阶段性成果）。 3.流程： 自评：各岗位人员每月/季度末对自身工作进行自评打分。 上级考评：由直属领导结合日常工作表现、数据记录进行评分。 跨部门复核：由考核管理小组对各岗位的评分进行交叉复核，确保公平性。 结果公示与反馈：考核结果在内部公示3个工作日，接受异议申诉，最终结果反馈至个人，同时作为绩效奖金、岗位调整、培训发展的依据。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联系人：陕西金合建设项目管理有限公司</w:t>
      </w:r>
    </w:p>
    <w:p>
      <w:pPr>
        <w:pStyle w:val="null3"/>
      </w:pPr>
      <w:r>
        <w:rPr>
          <w:rFonts w:ascii="仿宋_GB2312" w:hAnsi="仿宋_GB2312" w:cs="仿宋_GB2312" w:eastAsia="仿宋_GB2312"/>
        </w:rPr>
        <w:t>联系电话：0913-2028188</w:t>
      </w:r>
    </w:p>
    <w:p>
      <w:pPr>
        <w:pStyle w:val="null3"/>
      </w:pPr>
      <w:r>
        <w:rPr>
          <w:rFonts w:ascii="仿宋_GB2312" w:hAnsi="仿宋_GB2312" w:cs="仿宋_GB2312" w:eastAsia="仿宋_GB2312"/>
        </w:rPr>
        <w:t>地址：陕西省渭南市临渭区朝阳大街中段审计大楼八层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拟采购2026年度站内安全秩序维护员、保洁服务人员共计9人，其中安全秩序维护员5人（预增加1名女性安全秩序维护员）、保洁服务人员4名（预增加1名保洁员)。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安全秩序维护员和保洁员服务采购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标的名称：安全秩序维护员和保洁员服务采购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4"/>
              </w:rPr>
              <w:t>人员配备</w:t>
            </w:r>
          </w:p>
          <w:p>
            <w:pPr>
              <w:pStyle w:val="null3"/>
              <w:ind w:firstLine="560"/>
              <w:jc w:val="left"/>
            </w:pPr>
            <w:r>
              <w:rPr>
                <w:rFonts w:ascii="仿宋_GB2312" w:hAnsi="仿宋_GB2312" w:cs="仿宋_GB2312" w:eastAsia="仿宋_GB2312"/>
                <w:sz w:val="24"/>
              </w:rPr>
              <w:t>此次采购的安全秩序维护员、保洁服务人员共计</w:t>
            </w:r>
            <w:r>
              <w:rPr>
                <w:rFonts w:ascii="仿宋_GB2312" w:hAnsi="仿宋_GB2312" w:cs="仿宋_GB2312" w:eastAsia="仿宋_GB2312"/>
                <w:sz w:val="24"/>
              </w:rPr>
              <w:t>9人，其中安全秩序维护员5人（预增加1名女性安全秩序维护员）、保洁服务人员4名（预增加1名保洁员)。</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专业安全秩序维护员5人（预增加1名女性安全秩序维护员）：主要负责来站求助人员的安全检查、协助值班人员做好受助对象入站手续办理、站内重点部位区域的巡查、制止站内服务对象的违规、破坏行为、维护好站内的正常工作秩序、保护好工作人员和服务对象的人身安全，处理好各种突发事件的发生。2026年计划增加1名女性安全秩序维护员，以便应对前来求助的女性人员的安全检查，并做好各类巡查记录登记。</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专业保洁服务人员4名（预增加1名保洁员)：主要工作职责为受助人员和困境未成年人提供舒适的救助环境，重点是救助区域环境的清扫、整理、观察室被褥的清洗更换，成人滞留区域、未成年人生活区域的环境卫生清理与消毒。保持所属区域干净整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服务期限：</w:t>
            </w:r>
            <w:r>
              <w:rPr>
                <w:rFonts w:ascii="仿宋_GB2312" w:hAnsi="仿宋_GB2312" w:cs="仿宋_GB2312" w:eastAsia="仿宋_GB2312"/>
                <w:sz w:val="24"/>
              </w:rPr>
              <w:t>自合同签订之日起一年。</w:t>
            </w:r>
          </w:p>
          <w:p>
            <w:pPr>
              <w:pStyle w:val="null3"/>
            </w:pPr>
            <w:r>
              <w:rPr>
                <w:rFonts w:ascii="仿宋_GB2312" w:hAnsi="仿宋_GB2312" w:cs="仿宋_GB2312" w:eastAsia="仿宋_GB2312"/>
                <w:sz w:val="24"/>
              </w:rPr>
              <w:t>质量：符合国家相关法律法规及行业规范和采购要求，达到合格标准。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24"/>
              </w:rPr>
              <w:t>考核验收标准</w:t>
            </w:r>
          </w:p>
          <w:p>
            <w:pPr>
              <w:pStyle w:val="null3"/>
              <w:ind w:firstLine="560"/>
              <w:jc w:val="both"/>
            </w:pPr>
            <w:r>
              <w:rPr>
                <w:rFonts w:ascii="仿宋_GB2312" w:hAnsi="仿宋_GB2312" w:cs="仿宋_GB2312" w:eastAsia="仿宋_GB2312"/>
                <w:sz w:val="24"/>
              </w:rPr>
              <w:t>一、考核</w:t>
            </w:r>
          </w:p>
          <w:p>
            <w:pPr>
              <w:pStyle w:val="null3"/>
              <w:ind w:firstLine="560"/>
              <w:jc w:val="both"/>
            </w:pPr>
            <w:r>
              <w:rPr>
                <w:rFonts w:ascii="仿宋_GB2312" w:hAnsi="仿宋_GB2312" w:cs="仿宋_GB2312" w:eastAsia="仿宋_GB2312"/>
                <w:sz w:val="24"/>
              </w:rPr>
              <w:t>建立完善考核机制，对</w:t>
            </w:r>
            <w:r>
              <w:rPr>
                <w:rFonts w:ascii="仿宋_GB2312" w:hAnsi="仿宋_GB2312" w:cs="仿宋_GB2312" w:eastAsia="仿宋_GB2312"/>
                <w:sz w:val="24"/>
              </w:rPr>
              <w:t>安全秩序维护员</w:t>
            </w:r>
            <w:r>
              <w:rPr>
                <w:rFonts w:ascii="仿宋_GB2312" w:hAnsi="仿宋_GB2312" w:cs="仿宋_GB2312" w:eastAsia="仿宋_GB2312"/>
                <w:sz w:val="24"/>
              </w:rPr>
              <w:t>、</w:t>
            </w:r>
            <w:r>
              <w:rPr>
                <w:rFonts w:ascii="仿宋_GB2312" w:hAnsi="仿宋_GB2312" w:cs="仿宋_GB2312" w:eastAsia="仿宋_GB2312"/>
                <w:sz w:val="24"/>
              </w:rPr>
              <w:t>保洁员全方位考核，</w:t>
            </w:r>
            <w:r>
              <w:rPr>
                <w:rFonts w:ascii="仿宋_GB2312" w:hAnsi="仿宋_GB2312" w:cs="仿宋_GB2312" w:eastAsia="仿宋_GB2312"/>
                <w:sz w:val="24"/>
              </w:rPr>
              <w:t>对服务质量进行定期评估和监督，</w:t>
            </w:r>
            <w:r>
              <w:rPr>
                <w:rFonts w:ascii="仿宋_GB2312" w:hAnsi="仿宋_GB2312" w:cs="仿宋_GB2312" w:eastAsia="仿宋_GB2312"/>
                <w:sz w:val="24"/>
              </w:rPr>
              <w:t>规范岗位工作流程，提升服务质量与管理效能，实现工作标准化、精细化。</w:t>
            </w:r>
          </w:p>
          <w:p>
            <w:pPr>
              <w:pStyle w:val="null3"/>
              <w:ind w:firstLine="560"/>
              <w:jc w:val="both"/>
            </w:pPr>
            <w:r>
              <w:rPr>
                <w:rFonts w:ascii="仿宋_GB2312" w:hAnsi="仿宋_GB2312" w:cs="仿宋_GB2312" w:eastAsia="仿宋_GB2312"/>
                <w:sz w:val="24"/>
              </w:rPr>
              <w:t>人员季</w:t>
            </w:r>
            <w:r>
              <w:rPr>
                <w:rFonts w:ascii="仿宋_GB2312" w:hAnsi="仿宋_GB2312" w:cs="仿宋_GB2312" w:eastAsia="仿宋_GB2312"/>
                <w:sz w:val="24"/>
              </w:rPr>
              <w:t>度考核</w:t>
            </w:r>
            <w:r>
              <w:rPr>
                <w:rFonts w:ascii="仿宋_GB2312" w:hAnsi="仿宋_GB2312" w:cs="仿宋_GB2312" w:eastAsia="仿宋_GB2312"/>
                <w:sz w:val="24"/>
              </w:rPr>
              <w:t>须达标符合公司考核管理要求</w:t>
            </w:r>
            <w:r>
              <w:rPr>
                <w:rFonts w:ascii="仿宋_GB2312" w:hAnsi="仿宋_GB2312" w:cs="仿宋_GB2312" w:eastAsia="仿宋_GB2312"/>
                <w:sz w:val="24"/>
              </w:rPr>
              <w:t>。</w:t>
            </w:r>
          </w:p>
          <w:p>
            <w:pPr>
              <w:pStyle w:val="null3"/>
              <w:ind w:firstLine="560"/>
              <w:jc w:val="both"/>
            </w:pPr>
            <w:r>
              <w:rPr>
                <w:rFonts w:ascii="仿宋_GB2312" w:hAnsi="仿宋_GB2312" w:cs="仿宋_GB2312" w:eastAsia="仿宋_GB2312"/>
                <w:sz w:val="24"/>
              </w:rPr>
              <w:t>季度考核综合得分排名，优先获得培训机会。</w:t>
            </w:r>
          </w:p>
          <w:p>
            <w:pPr>
              <w:pStyle w:val="null3"/>
              <w:ind w:firstLine="560"/>
              <w:jc w:val="both"/>
            </w:pPr>
            <w:r>
              <w:rPr>
                <w:rFonts w:ascii="仿宋_GB2312" w:hAnsi="仿宋_GB2312" w:cs="仿宋_GB2312" w:eastAsia="仿宋_GB2312"/>
                <w:sz w:val="24"/>
              </w:rPr>
              <w:t>月</w:t>
            </w:r>
            <w:r>
              <w:rPr>
                <w:rFonts w:ascii="仿宋_GB2312" w:hAnsi="仿宋_GB2312" w:cs="仿宋_GB2312" w:eastAsia="仿宋_GB2312"/>
                <w:sz w:val="24"/>
              </w:rPr>
              <w:t>/季</w:t>
            </w:r>
            <w:r>
              <w:rPr>
                <w:rFonts w:ascii="仿宋_GB2312" w:hAnsi="仿宋_GB2312" w:cs="仿宋_GB2312" w:eastAsia="仿宋_GB2312"/>
                <w:sz w:val="24"/>
              </w:rPr>
              <w:t>度考核得分低于</w:t>
            </w:r>
            <w:r>
              <w:rPr>
                <w:rFonts w:ascii="仿宋_GB2312" w:hAnsi="仿宋_GB2312" w:cs="仿宋_GB2312" w:eastAsia="仿宋_GB2312"/>
                <w:sz w:val="24"/>
              </w:rPr>
              <w:t>考核标准</w:t>
            </w:r>
            <w:r>
              <w:rPr>
                <w:rFonts w:ascii="仿宋_GB2312" w:hAnsi="仿宋_GB2312" w:cs="仿宋_GB2312" w:eastAsia="仿宋_GB2312"/>
                <w:sz w:val="24"/>
              </w:rPr>
              <w:t>，给予警告处分并</w:t>
            </w:r>
            <w:r>
              <w:rPr>
                <w:rFonts w:ascii="仿宋_GB2312" w:hAnsi="仿宋_GB2312" w:cs="仿宋_GB2312" w:eastAsia="仿宋_GB2312"/>
                <w:sz w:val="24"/>
              </w:rPr>
              <w:t>约谈</w:t>
            </w:r>
            <w:r>
              <w:rPr>
                <w:rFonts w:ascii="仿宋_GB2312" w:hAnsi="仿宋_GB2312" w:cs="仿宋_GB2312" w:eastAsia="仿宋_GB2312"/>
                <w:sz w:val="24"/>
              </w:rPr>
              <w:t>。</w:t>
            </w:r>
          </w:p>
          <w:p>
            <w:pPr>
              <w:pStyle w:val="null3"/>
            </w:pPr>
            <w:r>
              <w:rPr>
                <w:rFonts w:ascii="仿宋_GB2312" w:hAnsi="仿宋_GB2312" w:cs="仿宋_GB2312" w:eastAsia="仿宋_GB2312"/>
                <w:sz w:val="24"/>
              </w:rPr>
              <w:t>连续两季度综合考核结果</w:t>
            </w:r>
            <w:r>
              <w:rPr>
                <w:rFonts w:ascii="仿宋_GB2312" w:hAnsi="仿宋_GB2312" w:cs="仿宋_GB2312" w:eastAsia="仿宋_GB2312"/>
                <w:sz w:val="24"/>
              </w:rPr>
              <w:t>“一般”的团队或个人，给予岗位调整。</w:t>
            </w:r>
          </w:p>
          <w:p>
            <w:pPr>
              <w:pStyle w:val="null3"/>
              <w:ind w:firstLine="560"/>
              <w:jc w:val="both"/>
            </w:pPr>
            <w:r>
              <w:rPr>
                <w:rFonts w:ascii="仿宋_GB2312" w:hAnsi="仿宋_GB2312" w:cs="仿宋_GB2312" w:eastAsia="仿宋_GB2312"/>
                <w:sz w:val="24"/>
              </w:rPr>
              <w:t>二、验收</w:t>
            </w:r>
          </w:p>
          <w:p>
            <w:pPr>
              <w:pStyle w:val="null3"/>
              <w:ind w:firstLine="56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符合</w:t>
            </w:r>
            <w:r>
              <w:rPr>
                <w:rFonts w:ascii="仿宋_GB2312" w:hAnsi="仿宋_GB2312" w:cs="仿宋_GB2312" w:eastAsia="仿宋_GB2312"/>
                <w:sz w:val="24"/>
              </w:rPr>
              <w:t>相关</w:t>
            </w:r>
            <w:r>
              <w:rPr>
                <w:rFonts w:ascii="仿宋_GB2312" w:hAnsi="仿宋_GB2312" w:cs="仿宋_GB2312" w:eastAsia="仿宋_GB2312"/>
                <w:sz w:val="24"/>
              </w:rPr>
              <w:t>行业规范和采购要求，达到合格标准。</w:t>
            </w:r>
          </w:p>
          <w:p>
            <w:pPr>
              <w:pStyle w:val="null3"/>
              <w:ind w:firstLine="560"/>
              <w:jc w:val="both"/>
            </w:pPr>
            <w:r>
              <w:rPr>
                <w:rFonts w:ascii="仿宋_GB2312" w:hAnsi="仿宋_GB2312" w:cs="仿宋_GB2312" w:eastAsia="仿宋_GB2312"/>
                <w:sz w:val="24"/>
              </w:rPr>
              <w:t>2</w:t>
            </w:r>
            <w:r>
              <w:rPr>
                <w:rFonts w:ascii="仿宋_GB2312" w:hAnsi="仿宋_GB2312" w:cs="仿宋_GB2312" w:eastAsia="仿宋_GB2312"/>
                <w:sz w:val="24"/>
              </w:rPr>
              <w:t>.周期：月/季度考核（针对日常</w:t>
            </w:r>
            <w:r>
              <w:rPr>
                <w:rFonts w:ascii="仿宋_GB2312" w:hAnsi="仿宋_GB2312" w:cs="仿宋_GB2312" w:eastAsia="仿宋_GB2312"/>
                <w:sz w:val="24"/>
              </w:rPr>
              <w:t>工作</w:t>
            </w:r>
            <w:r>
              <w:rPr>
                <w:rFonts w:ascii="仿宋_GB2312" w:hAnsi="仿宋_GB2312" w:cs="仿宋_GB2312" w:eastAsia="仿宋_GB2312"/>
                <w:sz w:val="24"/>
              </w:rPr>
              <w:t>职责）</w:t>
            </w:r>
            <w:r>
              <w:rPr>
                <w:rFonts w:ascii="仿宋_GB2312" w:hAnsi="仿宋_GB2312" w:cs="仿宋_GB2312" w:eastAsia="仿宋_GB2312"/>
                <w:sz w:val="24"/>
              </w:rPr>
              <w:t>+季度考核（针对组织机构及制度建设的阶段性成果）。</w:t>
            </w:r>
          </w:p>
          <w:p>
            <w:pPr>
              <w:pStyle w:val="null3"/>
              <w:ind w:firstLine="560"/>
              <w:jc w:val="both"/>
            </w:pPr>
            <w:r>
              <w:rPr>
                <w:rFonts w:ascii="仿宋_GB2312" w:hAnsi="仿宋_GB2312" w:cs="仿宋_GB2312" w:eastAsia="仿宋_GB2312"/>
                <w:sz w:val="24"/>
              </w:rPr>
              <w:t>3</w:t>
            </w:r>
            <w:r>
              <w:rPr>
                <w:rFonts w:ascii="仿宋_GB2312" w:hAnsi="仿宋_GB2312" w:cs="仿宋_GB2312" w:eastAsia="仿宋_GB2312"/>
                <w:sz w:val="24"/>
              </w:rPr>
              <w:t>.流程：</w:t>
            </w:r>
          </w:p>
          <w:p>
            <w:pPr>
              <w:pStyle w:val="null3"/>
              <w:ind w:firstLine="560"/>
              <w:jc w:val="both"/>
            </w:pPr>
            <w:r>
              <w:rPr>
                <w:rFonts w:ascii="仿宋_GB2312" w:hAnsi="仿宋_GB2312" w:cs="仿宋_GB2312" w:eastAsia="仿宋_GB2312"/>
                <w:sz w:val="24"/>
              </w:rPr>
              <w:t>自评：各岗位人员每月</w:t>
            </w:r>
            <w:r>
              <w:rPr>
                <w:rFonts w:ascii="仿宋_GB2312" w:hAnsi="仿宋_GB2312" w:cs="仿宋_GB2312" w:eastAsia="仿宋_GB2312"/>
                <w:sz w:val="24"/>
              </w:rPr>
              <w:t>/季度末对自身工作进行自评打分。</w:t>
            </w:r>
          </w:p>
          <w:p>
            <w:pPr>
              <w:pStyle w:val="null3"/>
              <w:ind w:firstLine="560"/>
              <w:jc w:val="both"/>
            </w:pPr>
            <w:r>
              <w:rPr>
                <w:rFonts w:ascii="仿宋_GB2312" w:hAnsi="仿宋_GB2312" w:cs="仿宋_GB2312" w:eastAsia="仿宋_GB2312"/>
                <w:sz w:val="24"/>
              </w:rPr>
              <w:t>上级考评：由直属领导结合日常工作表现、数据记录进行评分。</w:t>
            </w:r>
          </w:p>
          <w:p>
            <w:pPr>
              <w:pStyle w:val="null3"/>
              <w:ind w:firstLine="560"/>
              <w:jc w:val="both"/>
            </w:pPr>
            <w:r>
              <w:rPr>
                <w:rFonts w:ascii="仿宋_GB2312" w:hAnsi="仿宋_GB2312" w:cs="仿宋_GB2312" w:eastAsia="仿宋_GB2312"/>
                <w:sz w:val="24"/>
              </w:rPr>
              <w:t>跨部门复核：由考核管理小组对</w:t>
            </w:r>
            <w:r>
              <w:rPr>
                <w:rFonts w:ascii="仿宋_GB2312" w:hAnsi="仿宋_GB2312" w:cs="仿宋_GB2312" w:eastAsia="仿宋_GB2312"/>
                <w:sz w:val="24"/>
              </w:rPr>
              <w:t>各</w:t>
            </w:r>
            <w:r>
              <w:rPr>
                <w:rFonts w:ascii="仿宋_GB2312" w:hAnsi="仿宋_GB2312" w:cs="仿宋_GB2312" w:eastAsia="仿宋_GB2312"/>
                <w:sz w:val="24"/>
              </w:rPr>
              <w:t>岗位的评分进行交叉复核，确保公平性。</w:t>
            </w:r>
          </w:p>
          <w:p>
            <w:pPr>
              <w:pStyle w:val="null3"/>
            </w:pPr>
            <w:r>
              <w:rPr>
                <w:rFonts w:ascii="仿宋_GB2312" w:hAnsi="仿宋_GB2312" w:cs="仿宋_GB2312" w:eastAsia="仿宋_GB2312"/>
                <w:sz w:val="24"/>
              </w:rPr>
              <w:t>结果公示与反馈：考核结果在内部公示</w:t>
            </w:r>
            <w:r>
              <w:rPr>
                <w:rFonts w:ascii="仿宋_GB2312" w:hAnsi="仿宋_GB2312" w:cs="仿宋_GB2312" w:eastAsia="仿宋_GB2312"/>
                <w:sz w:val="24"/>
              </w:rPr>
              <w:t>3个工作日，接受异议申诉，最终结果反馈至个人，同时作为绩效奖金、岗位调整、培训发展的依据。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根据3.2.2服务要求及项目实施情况配备人员。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根据项目实施情况，自行配备。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1、服务质量、标准、期限、效率等要求： 建立完善考核机制，对安全秩序维护员、保洁员全方位考核，对服务质量进行定期评估和监督，规范岗位工作流程，提升服务质量与管理效能，实现工作标准化、精细化。 人员季度考核须达标符合公司考核管理要求。 季度考核综合得分排名，优先获得培训机会。 月/季度考核得分低于考核标准，给予警告处分并约谈。 连续两季度综合考核结果“一般”的团队或个人，给予岗位调整。 2、验收标准： 1.符合相关行业规范和采购要求，达到合格标准。 2.周期：月/季度考核（针对日常工作职责）+季度考核（针对组织机构及制度建设的阶段性成果）。 3.流程： 自评：各岗位人员每月/季度末对自身工作进行自评打分。 上级考评：由直属领导结合日常工作表现、数据记录进行评分。 跨部门复核：由考核管理小组对各岗位的评分进行交叉复核，确保公平性。 结果公示与反馈：考核结果在内部公示3个工作日，接受异议申诉，最终结果反馈至个人，同时作为绩效奖金、岗位调整、培训发展的依据。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渭南市救助管理站</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1.符合相关行业规范和采购要求，达到合格标准。 2.周期：月/季度考核（针对日常工作职责）+季度考核（针对组织机构及制度建设的阶段性成果）。 3.流程： 自评：各岗位人员每月/季度末对自身工作进行自评打分。 上级考评：由直属领导结合日常工作表现、数据记录进行评分。 跨部门复核：由考核管理小组对各岗位的评分进行交叉复核，确保公平性。 结果公示与反馈：考核结果在内部公示3个工作日，接受异议申诉，最终结果反馈至个人，同时作为绩效奖金、岗位调整、培训发展的依据。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合同签定生效后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服务期满三个月后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服务期满六个月后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服务期满九个月后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1、报价要求：本次采购的服务人员为9人，其中预增加的两名服务人员（1名女性安全秩序维护员、1名保洁员）费用单独报价并计入投标总报价中，服务费用应与原7人为同一水平。 2、磋商保证金注意事项：（1）以转账、支票、汇票等方式递交磋商保证金的，须从供应商户名支付（备注项目编号或项目名称），如从个人户名或非供应商户名支付，将被拒绝，视为自动放弃投标权利；磋商保证金以采购代理机构到账凭证为准，供应商需更换交纳凭证，由采购代理机构统一提供保证金收据；供应商应在磋商文件中附收据复印件；（2）以保函形式交纳磋商保证金的，供应商应在响应截止时间前持保函原件至代理机构财务处换取收据；供应商应在磋商文件中附收据复印件。保函必须由具有开具投标保函资格的单位开具；若供应商违约，开具保函单位承担连带责任；（3）磋商保证金提交金额、时间不满足磋商文件要求的，投标无效；（4）未按指定账户提交的，我公司将退回，供应商须在文件递交截止时间前按照指定账户再次提交。 3、合同价款付款方式：合同签定生效后支付合同总价款的40%，服务期满三个月后支付合同总价款的20%，服务期满六个月后支付合同总价款的20%，服务期满九个月后支付合同总价款的20%。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具有独立承担民事责任能力的法人、事业法人、其他组织或自然人。企业法人应提供合法有效的标识有统一社会信用代码营业执照；事业单位法人证书；其他组织应提供合法登记证明文件；自然人应提供身份证。 （2）提供具备履行合同所必需的设备和专业技术能力的承诺； （3）有依法缴纳税收的记录，提供供应商2025年3月以来任意一个月的依法缴纳税收凭据或完税证明（依法免税的供应商应提供相关文件证明）；（4）有依法缴纳社会保障资金的记录，提供供应商2025年3月以来任意一个月的社会保障资金缴存单据或社保机构开具的社会保险参保缴费情况证明（依法不需要缴纳社会保障资金的供应商应提供相关文件证明）；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单位负责人为同一人或者存在直接控股、管理关系的不同供应商提交响应文件的，按递交顺序只接受第一家响应文件，其他供应商按无效标处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半年内任意一个月的本单位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有法定代表人或委托代理人签字(或盖章)并加盖单位章。</w:t>
            </w:r>
          </w:p>
        </w:tc>
        <w:tc>
          <w:tcPr>
            <w:tcW w:type="dxa" w:w="1661"/>
          </w:tcPr>
          <w:p>
            <w:pPr>
              <w:pStyle w:val="null3"/>
            </w:pPr>
            <w:r>
              <w:rPr>
                <w:rFonts w:ascii="仿宋_GB2312" w:hAnsi="仿宋_GB2312" w:cs="仿宋_GB2312" w:eastAsia="仿宋_GB2312"/>
              </w:rPr>
              <w:t>拟投入本项目专业器具（设备）配备.docx 磋商保证金.docx 服务内容及服务邀请应答表 中小企业声明函 商务应答表 报价表 响应文件封面 分项报价表.docx 供应商应提交的相关资格证明材料.docx 残疾人福利性单位声明函 业绩证明材料.docx 标的清单 拟投入本项目人员配备.docx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响应文件格式与内容</w:t>
            </w:r>
          </w:p>
        </w:tc>
        <w:tc>
          <w:tcPr>
            <w:tcW w:type="dxa" w:w="3322"/>
          </w:tcPr>
          <w:p>
            <w:pPr>
              <w:pStyle w:val="null3"/>
            </w:pPr>
            <w:r>
              <w:rPr>
                <w:rFonts w:ascii="仿宋_GB2312" w:hAnsi="仿宋_GB2312" w:cs="仿宋_GB2312" w:eastAsia="仿宋_GB2312"/>
              </w:rPr>
              <w:t>符合磋商文件及第七章“响应文件格式”的要求。</w:t>
            </w:r>
          </w:p>
        </w:tc>
        <w:tc>
          <w:tcPr>
            <w:tcW w:type="dxa" w:w="1661"/>
          </w:tcPr>
          <w:p>
            <w:pPr>
              <w:pStyle w:val="null3"/>
            </w:pPr>
            <w:r>
              <w:rPr>
                <w:rFonts w:ascii="仿宋_GB2312" w:hAnsi="仿宋_GB2312" w:cs="仿宋_GB2312" w:eastAsia="仿宋_GB2312"/>
              </w:rPr>
              <w:t>拟投入本项目专业器具（设备）配备.docx 磋商保证金.docx 服务内容及服务邀请应答表 中小企业声明函 商务应答表 报价表 响应文件封面 分项报价表.docx 供应商应提交的相关资格证明材料.docx 残疾人福利性单位声明函 业绩证明材料.docx 标的清单 拟投入本项目人员配备.docx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报价唯一与首次报价</w:t>
            </w:r>
          </w:p>
        </w:tc>
        <w:tc>
          <w:tcPr>
            <w:tcW w:type="dxa" w:w="3322"/>
          </w:tcPr>
          <w:p>
            <w:pPr>
              <w:pStyle w:val="null3"/>
            </w:pPr>
            <w:r>
              <w:rPr>
                <w:rFonts w:ascii="仿宋_GB2312" w:hAnsi="仿宋_GB2312" w:cs="仿宋_GB2312" w:eastAsia="仿宋_GB2312"/>
              </w:rPr>
              <w:t>只能有一个有效报价且首次报价未超过最高限价。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自合同签订之日起一年</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针对本项目采购需求的整体服务方案，包括但不限于：①服务管理工作目标及计划；②服务内容及标准；③服务实施进度计划安排；④服务理念及特色；⑤重难点分析及解决措施等。评审标准：以上内容无缺项，方案完整科学、服务高效，质量标准明确，专门针对本项目编制，符合本项目实际情况，内容全面详细，且条理清晰、准确、合理，能够保障项目顺利实施的每1项得3分。每有1处缺项或者内容非针对于本项目的扣3分，每有1处缺陷的扣1分，扣完为止。（缺陷是指：内容不完整、条理不清晰、缺少关键点、方案不具体、针对性不强、内容无紧扣项目实际情况、表述前后不一致及其他不利于项目实施的情形等任意一种情形）。未提供方案或只有标题没有实质性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需求，提供详细、清晰、科学、合理的服务方案，包括但不限于：①综合管理服务方案；②安全秩序维护服务方案；③保洁服务服务方案。评审标准：以上内容无缺项，方案完整科学、服务高效，质量标准明确，专门针对本项目编制，符合本项目实际情况，内容全面详细，且条理清晰、准确、合理，能够保障项目顺利实施的每1项得5分。每有1处缺项或者内容非针对于本项目的扣5分，每有1处缺陷的扣1分，扣完为止。（缺陷是指：内容不完整、条理不清晰、缺少关键点、方案不具体、针对性不强、内容无紧扣项目实际情况、表述前后不一致及其他不利于项目实施的情形等任意一种情形）。未提供方案或只有标题没有实质性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需求，提供详细、清晰、科学、合理的质量保障方案，包括但不限于：①服务质量标准；②项目管理职责与分工；③员工日常管理制度及奖惩措施。评审标准：以上内容无缺项，方案完整科学，质量标准明确，专门针对本项目编制，符合本项目实际情况，内容全面详细，且条理清晰、准确、合理，可操作性强能够保障项目顺利实施的每1项得3分。每有1处缺项或者内容非针对于本项目的扣3分，每有1处缺陷的扣1分，扣完为止。（缺陷是指：内容不完整、条理不清晰、缺少关键点、方案不具体、针对性不强、内容无紧扣项目实际情况、表述前后不一致及其他不利于项目实施的情形等任意一种情形）。未提供方案或只有标题没有实质性内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企业管理制度与措施</w:t>
            </w:r>
          </w:p>
        </w:tc>
        <w:tc>
          <w:tcPr>
            <w:tcW w:type="dxa" w:w="2492"/>
          </w:tcPr>
          <w:p>
            <w:pPr>
              <w:pStyle w:val="null3"/>
            </w:pPr>
            <w:r>
              <w:rPr>
                <w:rFonts w:ascii="仿宋_GB2312" w:hAnsi="仿宋_GB2312" w:cs="仿宋_GB2312" w:eastAsia="仿宋_GB2312"/>
              </w:rPr>
              <w:t>1、供应商组织机构健全，内部管理制度详细，业务协作流程完善、与本项目实施具有很强的契合程度，按其响应程度计0-1.5分（后附相关管理制度等）。2、供应商有科学合理的从业人员安全责任制度，措施保障力强，法律责任和经济责任明确清晰，按其响应程度计0-1.5分。未提供此项内容或只有标题没有实质性内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需求，提供详细、全面、合理的应急预案，内容包括但不限于：①突发事件：停水、停电、恶劣天气、自然灾害等的应急预案；②重大活动：各类检查、大型活动的应急预案；③紧急安全保障措施。评审标准：以上内容无缺项，方案全面，各项内容有详细描述；切合本项目实际情况，步骤清晰、合理，操作性强；能够紧扣项目实际情况，内容科学合理针对性强的每1项得2分。每有1处缺项或者内容非针对于本项目的扣2分，每有1处缺陷的扣1分，扣完为止。（缺陷是指：内容不完整、条理不清晰、缺少关键点、方案不具体、针对性不强、内容无紧扣项目实际情况、表述前后不一致及其他不利于项目实施的情形等任意一种情形）。未提供方案或只有标题没有实质性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供应商针对本项目有具体的服务承诺及合理化建议及意见：包含但不限于：①服务承诺；②合理化建议。评审标准：以上内容无缺项，专门针对本项目编制，符合本项目实际情况，内容全面详细，且条理清晰、准确、合理，能够保障项目顺利实施的每1项得2分。每有1处缺项或者内容非针对于本项目的扣2分，每有1处缺陷的扣1分，扣完为止。（缺陷是指：内容不完整、条理不清晰、缺少关键点、方案不具体、针对性不强、内容无紧扣项目实际情况、表述前后不一致及其他不利于项目实施的情形等任意一种情形）。未提供方案或只有标题没有实质性内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器具配备</w:t>
            </w:r>
          </w:p>
        </w:tc>
        <w:tc>
          <w:tcPr>
            <w:tcW w:type="dxa" w:w="2492"/>
          </w:tcPr>
          <w:p>
            <w:pPr>
              <w:pStyle w:val="null3"/>
            </w:pPr>
            <w:r>
              <w:rPr>
                <w:rFonts w:ascii="仿宋_GB2312" w:hAnsi="仿宋_GB2312" w:cs="仿宋_GB2312" w:eastAsia="仿宋_GB2312"/>
              </w:rPr>
              <w:t>供应商提供满足服务所需的工具、用品及人员服装等，所配器具充足齐全，性能状态良好，保证随时便用，并且附件资料齐全。按其满足程度计0-2分。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专科或以上学历并持有行业相关证书证件得1分。赋分依据：须提供加盖公章的身份证、学历证及相关证书证件，未提供的不得分。（2）项目负责人具有3年相关服务管理经验得1分，每增加一年加0.5分，最多可加1分，满分2分。赋分依据：须提供加盖公章的项目负责人管理经验证明材料，未提供或缺漏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拟投入本项目人员配备.docx</w:t>
            </w:r>
          </w:p>
        </w:tc>
      </w:tr>
      <w:tr>
        <w:tc>
          <w:tcPr>
            <w:tcW w:type="dxa" w:w="831"/>
            <w:vMerge/>
          </w:tcPr>
          <w:p/>
        </w:tc>
        <w:tc>
          <w:tcPr>
            <w:tcW w:type="dxa" w:w="1661"/>
          </w:tcPr>
          <w:p>
            <w:pPr>
              <w:pStyle w:val="null3"/>
            </w:pPr>
            <w:r>
              <w:rPr>
                <w:rFonts w:ascii="仿宋_GB2312" w:hAnsi="仿宋_GB2312" w:cs="仿宋_GB2312" w:eastAsia="仿宋_GB2312"/>
              </w:rPr>
              <w:t>项目团队成员1</w:t>
            </w:r>
          </w:p>
        </w:tc>
        <w:tc>
          <w:tcPr>
            <w:tcW w:type="dxa" w:w="2492"/>
          </w:tcPr>
          <w:p>
            <w:pPr>
              <w:pStyle w:val="null3"/>
            </w:pPr>
            <w:r>
              <w:rPr>
                <w:rFonts w:ascii="仿宋_GB2312" w:hAnsi="仿宋_GB2312" w:cs="仿宋_GB2312" w:eastAsia="仿宋_GB2312"/>
              </w:rPr>
              <w:t>针对本项目提出适用于本项目的人员配备方案及相关证明材料。①岗位完整无关键缺失，人员工作经验与职责完全匹配；分工、协作机制清晰，能高效完成本职工作得3.1-5分；②核心岗位齐全，人员能承担基础工作；但部分人员专业或经验不足，分工协作细节未细化得1.1-3分；③仅列岗位名称，无职责说明；岗位与需求脱节；无分工协作规划，无法担任本职工作的得0-1分。 未提供本项内容的不得分。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拟投入本项目人员配备.docx</w:t>
            </w:r>
          </w:p>
        </w:tc>
      </w:tr>
      <w:tr>
        <w:tc>
          <w:tcPr>
            <w:tcW w:type="dxa" w:w="831"/>
            <w:vMerge/>
          </w:tcPr>
          <w:p/>
        </w:tc>
        <w:tc>
          <w:tcPr>
            <w:tcW w:type="dxa" w:w="1661"/>
          </w:tcPr>
          <w:p>
            <w:pPr>
              <w:pStyle w:val="null3"/>
            </w:pPr>
            <w:r>
              <w:rPr>
                <w:rFonts w:ascii="仿宋_GB2312" w:hAnsi="仿宋_GB2312" w:cs="仿宋_GB2312" w:eastAsia="仿宋_GB2312"/>
              </w:rPr>
              <w:t>项目团队成员2</w:t>
            </w:r>
          </w:p>
        </w:tc>
        <w:tc>
          <w:tcPr>
            <w:tcW w:type="dxa" w:w="2492"/>
          </w:tcPr>
          <w:p>
            <w:pPr>
              <w:pStyle w:val="null3"/>
            </w:pPr>
            <w:r>
              <w:rPr>
                <w:rFonts w:ascii="仿宋_GB2312" w:hAnsi="仿宋_GB2312" w:cs="仿宋_GB2312" w:eastAsia="仿宋_GB2312"/>
              </w:rPr>
              <w:t>（1）专业安全秩序维护员：满足采购人需求，依据年龄、从业经验等综合比较，按其响应程度计0-5分；（2）专业保洁服务人员：满足采购人需求，依据年龄、从业经验等综合比较，按其响应程度计0-5分；以上上岗人员中有健康证及个人无犯罪记录证明的，每一人加0.5分，最多加3分，未提供或只提供其中一项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供应商提供近三年（2023年3月1日至至今）类似项目业绩，每提供一份业绩得1分，总分5分（同时提供合同复印件）。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不高于最高限价，且经磋商小组评审不低于成本价的最终磋商报价为有效磋商报价。(2)满足竞争性磋商文件要求且磋商价格最低的最终磋商报价为磋商基准价，得满分20分；(3)磋商报价得分=(磋商基准价／最终磋商报价)×20%×100。备注：当磋商小组认为某个供应商的报价明显低于其他通过符合性审查供应商的报价，有可能影响服务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详见附件：拟投入本项目专业器具（设备）配备.docx</w:t>
      </w:r>
    </w:p>
    <w:p>
      <w:pPr>
        <w:pStyle w:val="null3"/>
        <w:ind w:firstLine="960"/>
      </w:pPr>
      <w:r>
        <w:rPr>
          <w:rFonts w:ascii="仿宋_GB2312" w:hAnsi="仿宋_GB2312" w:cs="仿宋_GB2312" w:eastAsia="仿宋_GB2312"/>
        </w:rPr>
        <w:t>详见附件：拟投入本项目人员配备.docx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详见附件：磋商保证金.docx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详见附件：渭南市救助站安全秩序维护及保洁服务采购合同.docx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