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版本号：ZCSP-渭南市-2026-00034（LR2026-ZC0102）20260319001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“世界你好我是渭南”国际在线全球多语种对外传播平台和海外社交平台账号运维</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ZCSP-渭南市-2026-00034（LR2026-ZC0102）</w:t>
      </w:r>
      <w:r>
        <w:br/>
      </w:r>
      <w:r>
        <w:br/>
      </w:r>
      <w:r>
        <w:br/>
      </w:r>
    </w:p>
    <w:p>
      <w:pPr>
        <w:pStyle w:val="null3"/>
        <w:jc w:val="center"/>
        <w:outlineLvl w:val="5"/>
      </w:pPr>
      <w:r>
        <w:rPr>
          <w:rFonts w:ascii="仿宋_GB2312" w:hAnsi="仿宋_GB2312" w:cs="仿宋_GB2312" w:eastAsia="仿宋_GB2312"/>
          <w:sz w:val="15"/>
          <w:b/>
        </w:rPr>
        <w:t>中共渭南市委宣传部</w:t>
      </w:r>
    </w:p>
    <w:p>
      <w:pPr>
        <w:pStyle w:val="null3"/>
        <w:jc w:val="center"/>
        <w:outlineLvl w:val="5"/>
      </w:pPr>
      <w:r>
        <w:rPr>
          <w:rFonts w:ascii="仿宋_GB2312" w:hAnsi="仿宋_GB2312" w:cs="仿宋_GB2312" w:eastAsia="仿宋_GB2312"/>
          <w:sz w:val="15"/>
          <w:b/>
        </w:rPr>
        <w:t>陕西里仁项目管理有限公司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2026年03月19日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陕西里仁项目管理有限公司</w:t>
      </w:r>
      <w:r>
        <w:rPr>
          <w:rFonts w:ascii="仿宋_GB2312" w:hAnsi="仿宋_GB2312" w:cs="仿宋_GB2312" w:eastAsia="仿宋_GB2312"/>
        </w:rPr>
        <w:t>（以下简称“代理机构”）受</w:t>
      </w:r>
      <w:r>
        <w:rPr>
          <w:rFonts w:ascii="仿宋_GB2312" w:hAnsi="仿宋_GB2312" w:cs="仿宋_GB2312" w:eastAsia="仿宋_GB2312"/>
        </w:rPr>
        <w:t>中共渭南市委宣传部</w:t>
      </w:r>
      <w:r>
        <w:rPr>
          <w:rFonts w:ascii="仿宋_GB2312" w:hAnsi="仿宋_GB2312" w:cs="仿宋_GB2312" w:eastAsia="仿宋_GB2312"/>
        </w:rPr>
        <w:t>委托，拟对</w:t>
      </w:r>
      <w:r>
        <w:rPr>
          <w:rFonts w:ascii="仿宋_GB2312" w:hAnsi="仿宋_GB2312" w:cs="仿宋_GB2312" w:eastAsia="仿宋_GB2312"/>
        </w:rPr>
        <w:t>“世界你好我是渭南”国际在线全球多语种对外传播平台和海外社交平台账号运维</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ZCSP-渭南市-2026-00034（LR2026-ZC0102）</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“世界你好我是渭南”国际在线全球多语种对外传播平台和海外社交平台账号运维</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搭建并维护“世界你好我是渭南”渭南新形象全球多语种对外传播平台，并提供其他相关的广告发布、设计制作、翻译校对等服务，具体内容详见采购文件第三章</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有效的证照：具有独立承担民事责任能力的法人、其他组织或自然人，提供合法有效的统一社会信用代码营业执照（事业单位法人证书/专业服务机构执业许可证/民办非企业单位登记证书，自然人提供身份证）；供应商需在项目电子化交易系统中按要求上传相应证明文件并进行电子签章。</w:t>
      </w:r>
    </w:p>
    <w:p>
      <w:pPr>
        <w:pStyle w:val="null3"/>
      </w:pPr>
      <w:r>
        <w:rPr>
          <w:rFonts w:ascii="仿宋_GB2312" w:hAnsi="仿宋_GB2312" w:cs="仿宋_GB2312" w:eastAsia="仿宋_GB2312"/>
        </w:rPr>
        <w:t>2、财务状况报告：提供经会计师事务所审计的完整的2024或2025年度审计报告（审计报告至少包含三表一注），或提交2025年10月1日以来基本账户开户银行出具的资信证明；其他组织和自然人提供银行出具的资信证明；附开户许可证或开户备案证明或基本账户信息；供应商需在项目电子化交易系统中按要求上传相应证明文件并进行电子签章。</w:t>
      </w:r>
    </w:p>
    <w:p>
      <w:pPr>
        <w:pStyle w:val="null3"/>
      </w:pPr>
      <w:r>
        <w:rPr>
          <w:rFonts w:ascii="仿宋_GB2312" w:hAnsi="仿宋_GB2312" w:cs="仿宋_GB2312" w:eastAsia="仿宋_GB2312"/>
        </w:rPr>
        <w:t>3、税收缴纳证明：提供2025年5月1日以来至少一个月的依法缴纳税收的相关凭据（时间以税款所属日期为准、税种须包含增值税或企业所得税），凭据应有税务机关或代收机关的公章或业务专用章；其他组织和自然人提供2025年5月1日以来至少一个月缴纳税收的相关凭据；供应商需在项目电子化交易系统中按要求上传相应证明文件并进行电子签章。</w:t>
      </w:r>
    </w:p>
    <w:p>
      <w:pPr>
        <w:pStyle w:val="null3"/>
      </w:pPr>
      <w:r>
        <w:rPr>
          <w:rFonts w:ascii="仿宋_GB2312" w:hAnsi="仿宋_GB2312" w:cs="仿宋_GB2312" w:eastAsia="仿宋_GB2312"/>
        </w:rPr>
        <w:t>4、社会保障资金缴存证明：提供2025年5月1日以来至少一个月已缴纳的社会保障资金的证明（社会保障资金职工基本养老保险等缴存单据或社保机构开具的社会保险参保缴费情况证明等）；依法不需要缴纳社会保障资金的供应商应提供相关文件证明；供应商需在项目电子化交易系统中按要求上传相应证明文件并进行电子签章。</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供应商需在项目电子化交易系统中按要求上传相应证明文件并进行电子签章。</w:t>
      </w:r>
    </w:p>
    <w:p>
      <w:pPr>
        <w:pStyle w:val="null3"/>
      </w:pPr>
      <w:r>
        <w:rPr>
          <w:rFonts w:ascii="仿宋_GB2312" w:hAnsi="仿宋_GB2312" w:cs="仿宋_GB2312" w:eastAsia="仿宋_GB2312"/>
        </w:rPr>
        <w:t>6、承诺函：提供具有履行合同所必需的设备和专业技术能力的承诺函；供应商需在项目电子化交易系统中按要求上传相应证明文件并进行电子签章。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7、协商授权委托：法定代表人参加协商的，应出具法定代表人证明书及法定代表人身份证明，且应与营业执照上信息一致；法定代表人授权他人参加协商的，应出具法定代表人证明书、法定代表人授权书及被授权人身份证明；供应商需在项目电子化交易系统中按要求上传相应证明文件并进行电子签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中共渭南市委宣传部</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渭南市临渭区朝阳大街21号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714024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张倍宁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0913-2126234</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陕西里仁项目管理有限公司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陕西省西安市雁塔区高新路31号凯创国际1幢21002室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029-68926580</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采购包1：750,000.00元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开户名称：陕西里仁项目管理有限公司</w:t>
            </w:r>
          </w:p>
          <w:p>
            <w:pPr>
              <w:pStyle w:val="null3"/>
            </w:pPr>
            <w:r>
              <w:rPr>
                <w:rFonts w:ascii="仿宋_GB2312" w:hAnsi="仿宋_GB2312" w:cs="仿宋_GB2312" w:eastAsia="仿宋_GB2312"/>
              </w:rPr>
              <w:t>开户银行：招商银行股份有限公司西安城南支行</w:t>
            </w:r>
          </w:p>
          <w:p>
            <w:pPr>
              <w:pStyle w:val="null3"/>
            </w:pPr>
            <w:r>
              <w:rPr>
                <w:rFonts w:ascii="仿宋_GB2312" w:hAnsi="仿宋_GB2312" w:cs="仿宋_GB2312" w:eastAsia="仿宋_GB2312"/>
              </w:rPr>
              <w:t>银行账号：129909983110902</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代理服务费收费标准：1、参考国家计委颁布的《招标代理服务收费管理暂行办法》(计价格[2002]1980 号)和(发改办价格[2003]857 号)收费标准（含税），以成交公告公布的金额为准。 2、支付方式：成交供应商应在领取通知书的同时，支付本项目代理服务费。收款账户如下：收款单位：陕西里仁项目管理有限公司 开户银行：招商银行股份有限公司西安城南支行 银行账号：129909983110902 3、转账时备注：代理服务费。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中共渭南市委宣传部</w:t>
      </w:r>
      <w:r>
        <w:rPr>
          <w:rFonts w:ascii="仿宋_GB2312" w:hAnsi="仿宋_GB2312" w:cs="仿宋_GB2312" w:eastAsia="仿宋_GB2312"/>
        </w:rPr>
        <w:t>和</w:t>
      </w:r>
      <w:r>
        <w:rPr>
          <w:rFonts w:ascii="仿宋_GB2312" w:hAnsi="仿宋_GB2312" w:cs="仿宋_GB2312" w:eastAsia="仿宋_GB2312"/>
        </w:rPr>
        <w:t>陕西里仁项目管理有限公司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陕西里仁项目管理有限公司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中共渭南市委宣传部</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陕西里仁项目管理有限公司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符合国家标准、行业标准以及有关技术规范要求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搭建并维护“世界你好我是渭南”渭南新形象全球多语种对外传播平台，并提供其他相关的广告发布、设计制作、翻译校对等服务，具体内容详见采购文件第三章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750,000.00</w:t>
      </w:r>
    </w:p>
    <w:p>
      <w:pPr>
        <w:pStyle w:val="null3"/>
      </w:pPr>
      <w:r>
        <w:rPr>
          <w:rFonts w:ascii="仿宋_GB2312" w:hAnsi="仿宋_GB2312" w:cs="仿宋_GB2312" w:eastAsia="仿宋_GB2312"/>
        </w:rPr>
        <w:t>采购包最高限价（元）: 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世界你好我是渭南国际在线全球多语种对外传播平台和海外社交平台账号运维</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标的名称：世界你好我是渭南国际在线全球多语种对外传播平台和海外社交平台账号运维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一、采购需求</w:t>
            </w:r>
          </w:p>
          <w:p>
            <w:pPr>
              <w:pStyle w:val="null3"/>
              <w:jc w:val="both"/>
            </w:pPr>
            <w:r>
              <w:rPr>
                <w:rFonts w:ascii="仿宋_GB2312" w:hAnsi="仿宋_GB2312" w:cs="仿宋_GB2312" w:eastAsia="仿宋_GB2312"/>
                <w:sz w:val="20"/>
              </w:rPr>
              <w:t>1、项目概况：</w:t>
            </w:r>
          </w:p>
          <w:p>
            <w:pPr>
              <w:pStyle w:val="null3"/>
              <w:ind w:firstLine="400"/>
              <w:jc w:val="both"/>
            </w:pPr>
            <w:r>
              <w:rPr>
                <w:rFonts w:ascii="仿宋_GB2312" w:hAnsi="仿宋_GB2312" w:cs="仿宋_GB2312" w:eastAsia="仿宋_GB2312"/>
              </w:rPr>
              <w:t>搭建并维护</w:t>
            </w:r>
            <w:r>
              <w:rPr>
                <w:rFonts w:ascii="仿宋_GB2312" w:hAnsi="仿宋_GB2312" w:cs="仿宋_GB2312" w:eastAsia="仿宋_GB2312"/>
              </w:rPr>
              <w:t>“世界你好我是渭南”渭南新形象全球多语种对外传播平台，并提供其他相关的广告发布、设计制作、翻译校对等服务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2、服务地点：中共渭南市委宣传部项目地点</w:t>
            </w:r>
          </w:p>
          <w:p>
            <w:pPr>
              <w:pStyle w:val="null3"/>
              <w:jc w:val="both"/>
            </w:pPr>
            <w:r>
              <w:rPr>
                <w:rFonts w:ascii="仿宋_GB2312" w:hAnsi="仿宋_GB2312" w:cs="仿宋_GB2312" w:eastAsia="仿宋_GB2312"/>
                <w:sz w:val="20"/>
              </w:rPr>
              <w:t>3、服务内容：</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.1、搭建7个语种的多语种网站：202</w:t>
            </w:r>
            <w:r>
              <w:rPr>
                <w:rFonts w:ascii="仿宋_GB2312" w:hAnsi="仿宋_GB2312" w:cs="仿宋_GB2312" w:eastAsia="仿宋_GB2312"/>
                <w:sz w:val="20"/>
              </w:rPr>
              <w:t>6</w:t>
            </w:r>
            <w:r>
              <w:rPr>
                <w:rFonts w:ascii="仿宋_GB2312" w:hAnsi="仿宋_GB2312" w:cs="仿宋_GB2312" w:eastAsia="仿宋_GB2312"/>
                <w:sz w:val="20"/>
              </w:rPr>
              <w:t>年围绕渭南重大活动内容或事件、美丽渭南，非遗里的渭南、寻味渭南等涉及对外交流、文化交流、城市推荐等方面，策划制作海报、视频等融媒体产品，进行中文、英语、法语、俄语、阿拉伯语、日语、韩语七种语种进行多语种对外推介。</w:t>
            </w:r>
          </w:p>
          <w:p>
            <w:pPr>
              <w:pStyle w:val="null3"/>
              <w:jc w:val="both"/>
            </w:pPr>
            <w:r>
              <w:rPr>
                <w:rFonts w:ascii="仿宋_GB2312" w:hAnsi="仿宋_GB2312" w:cs="仿宋_GB2312" w:eastAsia="仿宋_GB2312"/>
              </w:rPr>
              <w:t>推广数量：多语种推送：</w:t>
            </w:r>
            <w:r>
              <w:rPr>
                <w:rFonts w:ascii="仿宋_GB2312" w:hAnsi="仿宋_GB2312" w:cs="仿宋_GB2312" w:eastAsia="仿宋_GB2312"/>
              </w:rPr>
              <w:t>Facebook、Twitter等海外社交平台推送不少于100次；多语种海报策划及设计制作不少于36期。</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.2、运营This is weinan海外社交账号（Twitter及Facebook）</w:t>
            </w:r>
          </w:p>
          <w:p>
            <w:pPr>
              <w:pStyle w:val="null3"/>
              <w:jc w:val="both"/>
            </w:pPr>
            <w:r>
              <w:rPr>
                <w:rFonts w:ascii="仿宋_GB2312" w:hAnsi="仿宋_GB2312" w:cs="仿宋_GB2312" w:eastAsia="仿宋_GB2312"/>
              </w:rPr>
              <w:t>运营计划：主动策划、拍摄制作符合海外网友喜闻乐见的内容，并利用国际在线语言优势，开展母语精准翻译校对，在海外柔性讲好渭南故事，传播好渭南声音。海外社交账号粉丝数</w:t>
            </w:r>
            <w:r>
              <w:rPr>
                <w:rFonts w:ascii="仿宋_GB2312" w:hAnsi="仿宋_GB2312" w:cs="仿宋_GB2312" w:eastAsia="仿宋_GB2312"/>
              </w:rPr>
              <w:t>Twitter超1.5万，Facebook粉丝突破30万+。</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.3、用好用活驻华使节、境外媒体、国际友人、海外大 V、外国网红、外国企业家“六个外国人”资源，为渭南改革发展、对外交流营造良好外部环境。</w:t>
            </w:r>
          </w:p>
          <w:p>
            <w:pPr>
              <w:pStyle w:val="null3"/>
              <w:jc w:val="both"/>
            </w:pPr>
            <w:r>
              <w:rPr>
                <w:rFonts w:ascii="仿宋_GB2312" w:hAnsi="仿宋_GB2312" w:cs="仿宋_GB2312" w:eastAsia="仿宋_GB2312"/>
              </w:rPr>
              <w:t xml:space="preserve">    </w:t>
            </w:r>
            <w:r>
              <w:rPr>
                <w:rFonts w:ascii="仿宋_GB2312" w:hAnsi="仿宋_GB2312" w:cs="仿宋_GB2312" w:eastAsia="仿宋_GB2312"/>
              </w:rPr>
              <w:t>3</w:t>
            </w:r>
            <w:r>
              <w:rPr>
                <w:rFonts w:ascii="仿宋_GB2312" w:hAnsi="仿宋_GB2312" w:cs="仿宋_GB2312" w:eastAsia="仿宋_GB2312"/>
              </w:rPr>
              <w:t>.4、短视频推广</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.4.1、制作系列短视频；</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.4.2、展现形式：打卡类VLOG，专题式视频短片等；</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.4.3、视频时长：2-5min；</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.4.4、推广数量：主题视频拍摄、剪辑、制作不少于12期；</w:t>
            </w:r>
          </w:p>
          <w:p>
            <w:pPr>
              <w:pStyle w:val="null3"/>
              <w:ind w:firstLine="400"/>
              <w:jc w:val="both"/>
            </w:pPr>
            <w:r>
              <w:rPr>
                <w:rFonts w:ascii="仿宋_GB2312" w:hAnsi="仿宋_GB2312" w:cs="仿宋_GB2312" w:eastAsia="仿宋_GB2312"/>
              </w:rPr>
              <w:t>3</w:t>
            </w:r>
            <w:r>
              <w:rPr>
                <w:rFonts w:ascii="仿宋_GB2312" w:hAnsi="仿宋_GB2312" w:cs="仿宋_GB2312" w:eastAsia="仿宋_GB2312"/>
              </w:rPr>
              <w:t>.4.5、广告位展示。</w:t>
            </w:r>
          </w:p>
          <w:p>
            <w:pPr>
              <w:pStyle w:val="null3"/>
              <w:jc w:val="both"/>
            </w:pPr>
            <w:r>
              <w:rPr>
                <w:rFonts w:ascii="仿宋_GB2312" w:hAnsi="仿宋_GB2312" w:cs="仿宋_GB2312" w:eastAsia="仿宋_GB2312"/>
                <w:sz w:val="20"/>
              </w:rPr>
              <w:t>4、服务范围：采购文件要求、合同约定及采购人提供的采购需求等全部内容。</w:t>
            </w:r>
          </w:p>
          <w:p>
            <w:pPr>
              <w:pStyle w:val="null3"/>
              <w:jc w:val="both"/>
            </w:pPr>
            <w:r>
              <w:rPr>
                <w:rFonts w:ascii="仿宋_GB2312" w:hAnsi="仿宋_GB2312" w:cs="仿宋_GB2312" w:eastAsia="仿宋_GB2312"/>
                <w:sz w:val="20"/>
              </w:rPr>
              <w:t>5、服务标准：符合国家标准、行业标准以及有关技术规范要求。</w:t>
            </w:r>
          </w:p>
          <w:p>
            <w:pPr>
              <w:pStyle w:val="null3"/>
              <w:jc w:val="both"/>
            </w:pPr>
            <w:r>
              <w:rPr>
                <w:rFonts w:ascii="仿宋_GB2312" w:hAnsi="仿宋_GB2312" w:cs="仿宋_GB2312" w:eastAsia="仿宋_GB2312"/>
                <w:sz w:val="20"/>
              </w:rPr>
              <w:t>6、服务要求：保证服务内容、服务质量完全符合采购文件的要求。</w:t>
            </w:r>
          </w:p>
          <w:p>
            <w:pPr>
              <w:pStyle w:val="null3"/>
              <w:spacing w:after="120"/>
              <w:jc w:val="both"/>
            </w:pPr>
            <w:r>
              <w:rPr>
                <w:rFonts w:ascii="仿宋_GB2312" w:hAnsi="仿宋_GB2312" w:cs="仿宋_GB2312" w:eastAsia="仿宋_GB2312"/>
                <w:sz w:val="20"/>
              </w:rPr>
              <w:t>二、服务期：</w:t>
            </w:r>
            <w:r>
              <w:rPr>
                <w:rFonts w:ascii="仿宋_GB2312" w:hAnsi="仿宋_GB2312" w:cs="仿宋_GB2312" w:eastAsia="仿宋_GB2312"/>
                <w:sz w:val="20"/>
              </w:rPr>
              <w:t>2026年12月31日前完成</w:t>
            </w:r>
          </w:p>
          <w:p>
            <w:pPr>
              <w:pStyle w:val="null3"/>
              <w:spacing w:after="120"/>
              <w:jc w:val="both"/>
            </w:pPr>
            <w:r>
              <w:rPr>
                <w:rFonts w:ascii="仿宋_GB2312" w:hAnsi="仿宋_GB2312" w:cs="仿宋_GB2312" w:eastAsia="仿宋_GB2312"/>
                <w:sz w:val="20"/>
              </w:rPr>
              <w:t>三、付款方式：</w:t>
            </w:r>
          </w:p>
          <w:p>
            <w:pPr>
              <w:pStyle w:val="null3"/>
              <w:jc w:val="both"/>
            </w:pPr>
            <w:r>
              <w:rPr>
                <w:rFonts w:ascii="仿宋_GB2312" w:hAnsi="仿宋_GB2312" w:cs="仿宋_GB2312" w:eastAsia="仿宋_GB2312"/>
                <w:sz w:val="20"/>
              </w:rPr>
              <w:t>1、付款单位：采购人结算，在付款前，按付款金额开具发票给采购人。</w:t>
            </w:r>
          </w:p>
          <w:p>
            <w:pPr>
              <w:pStyle w:val="null3"/>
              <w:jc w:val="both"/>
            </w:pPr>
            <w:r>
              <w:rPr>
                <w:rFonts w:ascii="仿宋_GB2312" w:hAnsi="仿宋_GB2312" w:cs="仿宋_GB2312" w:eastAsia="仿宋_GB2312"/>
                <w:sz w:val="20"/>
              </w:rPr>
              <w:t>2、付款方式：合同签订后30日内，支付合同总金额的100%。</w:t>
            </w:r>
          </w:p>
          <w:p>
            <w:pPr>
              <w:pStyle w:val="null3"/>
              <w:jc w:val="both"/>
            </w:pPr>
            <w:r>
              <w:rPr>
                <w:rFonts w:ascii="仿宋_GB2312" w:hAnsi="仿宋_GB2312" w:cs="仿宋_GB2312" w:eastAsia="仿宋_GB2312"/>
                <w:sz w:val="20"/>
              </w:rPr>
              <w:t>四、质量保证：成交供应商应当保证服务内容质量完全符合采购文件的要求，并对服务内容质量问题负责。</w:t>
            </w:r>
          </w:p>
          <w:p>
            <w:pPr>
              <w:pStyle w:val="null3"/>
              <w:jc w:val="both"/>
            </w:pPr>
            <w:r>
              <w:rPr>
                <w:rFonts w:ascii="仿宋_GB2312" w:hAnsi="仿宋_GB2312" w:cs="仿宋_GB2312" w:eastAsia="仿宋_GB2312"/>
                <w:sz w:val="20"/>
              </w:rPr>
              <w:t>五、采购项目执行内容需要调整时，经采购人同意后，可以对相应的内容进行调整，并协商确定价格差额计算方法和负担办法。</w:t>
            </w:r>
          </w:p>
          <w:p>
            <w:pPr>
              <w:pStyle w:val="null3"/>
              <w:jc w:val="both"/>
            </w:pPr>
            <w:r>
              <w:rPr>
                <w:rFonts w:ascii="仿宋_GB2312" w:hAnsi="仿宋_GB2312" w:cs="仿宋_GB2312" w:eastAsia="仿宋_GB2312"/>
                <w:sz w:val="21"/>
              </w:rPr>
              <w:t>六、</w:t>
            </w:r>
            <w:r>
              <w:rPr>
                <w:rFonts w:ascii="仿宋_GB2312" w:hAnsi="仿宋_GB2312" w:cs="仿宋_GB2312" w:eastAsia="仿宋_GB2312"/>
                <w:sz w:val="20"/>
              </w:rPr>
              <w:t>验收：达到使用条件时由采购人负责组织验收，验收合格后须交接项目实施的全部资料，并填写政府采购项目验收报告单。验收须以合同、采购文件及响应文件、澄清及国家相应的标准、规范等为依据。</w:t>
            </w:r>
          </w:p>
          <w:p>
            <w:pPr>
              <w:pStyle w:val="null3"/>
            </w:pPr>
            <w:r>
              <w:rPr>
                <w:rFonts w:ascii="仿宋_GB2312" w:hAnsi="仿宋_GB2312" w:cs="仿宋_GB2312" w:eastAsia="仿宋_GB2312"/>
                <w:sz w:val="21"/>
              </w:rPr>
              <w:t>七、合同争议的解决：合同执行中发生争议的，当事人双方应协商解决，协商达不成一致时，可向人民法院提请诉讼。</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2026年12月31日前完成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中共渭南市委宣传部项目地点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达到使用条件时由采购人负责组织验收，验收合格后须交接项目实施的全部资料，并填写政府采购项目验收报告单。验收须以合同、采购文件及响应文件、澄清及国家相应的标准、规范等为依据</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 2、成交供应商在领取成交通知书时须向代理机构提供纸质版响应文件正本1份、副本3份、电子版文件1 份（U 盘）。 3、纸质响应文件采用双面打印并胶装成册，须与电子响应文件一致；若电子响应文件与纸质响应文件不一致的，以电子响应文件为准。4、线下纸质文件递交地点：西安市雁塔区高新路31号凯创国际2幢10楼1002室。5、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本项目非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会计师事务所审计的完整的2024或2025年度审计报告（审计报告至少包含三表一注），或提交2025年10月1日以来基本账户开户银行出具的资信证明；其他组织和自然人提供银行出具的资信证明；附开户许可证或开户备案证明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供应商资格证明文件</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营业执照等有效的证照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法人证书/专业服务机构执业许可证/民办非企业单位登记证书，自然人提供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会计师事务所审计的完整的2024或2025年度审计报告（审计报告至少包含三表一注），或提交2025年10月1日以来基本账户开户银行出具的资信证明；其他组织和自然人提供银行出具的资信证明；附开户许可证或开户备案证明或基本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1日以来至少一个月的依法缴纳税收的相关凭据（时间以税款所属日期为准、税种须包含增值税或企业所得税），凭据应有税务机关或代收机关的公章或业务专用章；其他组织和自然人提供2025年5月1日以来至少一个月缴纳税收的相关凭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社会保障资金缴存证明</w:t>
            </w:r>
          </w:p>
        </w:tc>
        <w:tc>
          <w:tcPr>
            <w:tcW w:type="dxa" w:w="3322"/>
          </w:tcPr>
          <w:p>
            <w:pPr>
              <w:pStyle w:val="null3"/>
            </w:pPr>
            <w:r>
              <w:rPr>
                <w:rFonts w:ascii="仿宋_GB2312" w:hAnsi="仿宋_GB2312" w:cs="仿宋_GB2312" w:eastAsia="仿宋_GB2312"/>
              </w:rPr>
              <w:t>提供2025年5月1日以来至少一个月已缴纳的社会保障资金的证明（社会保障资金职工基本养老保险等缴存单据或社保机构开具的社会保险参保缴费情况证明等）；依法不需要缴纳社会保障资金的供应商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政府采购严重违法失信行为记录名单的书面声明。本项目拒绝被列入失信被执行人、重大税收违法失信主体、政府采购严重违法失信行为的供应商参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协商授权委托</w:t>
            </w:r>
          </w:p>
        </w:tc>
        <w:tc>
          <w:tcPr>
            <w:tcW w:type="dxa" w:w="3322"/>
          </w:tcPr>
          <w:p>
            <w:pPr>
              <w:pStyle w:val="null3"/>
            </w:pPr>
            <w:r>
              <w:rPr>
                <w:rFonts w:ascii="仿宋_GB2312" w:hAnsi="仿宋_GB2312" w:cs="仿宋_GB2312" w:eastAsia="仿宋_GB2312"/>
              </w:rPr>
              <w:t>法定代表人参加协商的，应出具法定代表人证明书及法定代表人身份证明，且应与营业执照上信息一致；法定代表人授权他人参加协商的，应出具法定代表人证明书、法定代表人授权书及被授权人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投标人按照招标文件要求上传投标文件</w:t>
            </w:r>
          </w:p>
        </w:tc>
        <w:tc>
          <w:tcPr>
            <w:tcW w:type="dxa" w:w="1661"/>
          </w:tcPr>
          <w:p>
            <w:pPr>
              <w:pStyle w:val="null3"/>
            </w:pPr>
            <w:r>
              <w:rPr>
                <w:rFonts w:ascii="仿宋_GB2312" w:hAnsi="仿宋_GB2312" w:cs="仿宋_GB2312" w:eastAsia="仿宋_GB2312"/>
              </w:rPr>
              <w:t>分项报价表 标的清单 报价表 响应方案 采购标的成本说明、供应商相关专利及专有技术情况说明、同类项目合同价格说明 供应商承诺书 响应函 供应商资格证明文件 服务要求应答表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协商过程中，协商小组认为供应商响应报价有可能影响项目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响应报价合理性的，协商小组应当将其响应文件作为无效处理。</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分项报价表 标的清单 报价表 响应方案 采购标的成本说明、供应商相关专利及专有技术情况说明、同类项目合同价格说明 供应商承诺书 响应函 供应商资格证明文件 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分项报价表 标的清单 报价表 响应方案 采购标的成本说明、供应商相关专利及专有技术情况说明、同类项目合同价格说明 供应商承诺书 响应函 供应商资格证明文件 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响应文件按采购文件要求的语言、计量单位、报价货币；按采购文件要求签署、盖章。</w:t>
            </w:r>
          </w:p>
        </w:tc>
        <w:tc>
          <w:tcPr>
            <w:tcW w:type="dxa" w:w="1661"/>
          </w:tcPr>
          <w:p>
            <w:pPr>
              <w:pStyle w:val="null3"/>
            </w:pPr>
            <w:r>
              <w:rPr>
                <w:rFonts w:ascii="仿宋_GB2312" w:hAnsi="仿宋_GB2312" w:cs="仿宋_GB2312" w:eastAsia="仿宋_GB2312"/>
              </w:rPr>
              <w:t>响应文件封面 分项报价表 标的清单 报价表 响应方案 采购标的成本说明、供应商相关专利及专有技术情况说明、同类项目合同价格说明 供应商承诺书 响应函 供应商资格证明文件 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报价唯一；响应报价不超过采购预算。</w:t>
            </w:r>
          </w:p>
        </w:tc>
        <w:tc>
          <w:tcPr>
            <w:tcW w:type="dxa" w:w="1661"/>
          </w:tcPr>
          <w:p>
            <w:pPr>
              <w:pStyle w:val="null3"/>
            </w:pPr>
            <w:r>
              <w:rPr>
                <w:rFonts w:ascii="仿宋_GB2312" w:hAnsi="仿宋_GB2312" w:cs="仿宋_GB2312" w:eastAsia="仿宋_GB2312"/>
              </w:rPr>
              <w:t>分项报价表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协商保证金交纳</w:t>
            </w:r>
          </w:p>
        </w:tc>
        <w:tc>
          <w:tcPr>
            <w:tcW w:type="dxa" w:w="3322"/>
          </w:tcPr>
          <w:p>
            <w:pPr>
              <w:pStyle w:val="null3"/>
            </w:pPr>
            <w:r>
              <w:rPr>
                <w:rFonts w:ascii="仿宋_GB2312" w:hAnsi="仿宋_GB2312" w:cs="仿宋_GB2312" w:eastAsia="仿宋_GB2312"/>
              </w:rPr>
              <w:t>按采购文件规定交纳协商保证金。</w:t>
            </w:r>
          </w:p>
        </w:tc>
        <w:tc>
          <w:tcPr>
            <w:tcW w:type="dxa" w:w="1661"/>
          </w:tcPr>
          <w:p>
            <w:pPr>
              <w:pStyle w:val="null3"/>
            </w:pPr>
            <w:r>
              <w:rPr>
                <w:rFonts w:ascii="仿宋_GB2312" w:hAnsi="仿宋_GB2312" w:cs="仿宋_GB2312" w:eastAsia="仿宋_GB2312"/>
              </w:rPr>
              <w:t>协商保证金交纳凭据</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服务期符合采购文件要求。</w:t>
            </w:r>
          </w:p>
        </w:tc>
        <w:tc>
          <w:tcPr>
            <w:tcW w:type="dxa" w:w="1661"/>
          </w:tcPr>
          <w:p>
            <w:pPr>
              <w:pStyle w:val="null3"/>
            </w:pPr>
            <w:r>
              <w:rPr>
                <w:rFonts w:ascii="仿宋_GB2312" w:hAnsi="仿宋_GB2312" w:cs="仿宋_GB2312" w:eastAsia="仿宋_GB2312"/>
              </w:rPr>
              <w:t>标的清单 报价表 服务要求应答表</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详见附件：响应方案</w:t>
      </w:r>
    </w:p>
    <w:p>
      <w:pPr>
        <w:pStyle w:val="null3"/>
        <w:ind w:firstLine="960"/>
      </w:pPr>
      <w:r>
        <w:rPr>
          <w:rFonts w:ascii="仿宋_GB2312" w:hAnsi="仿宋_GB2312" w:cs="仿宋_GB2312" w:eastAsia="仿宋_GB2312"/>
        </w:rPr>
        <w:t>详见附件：服务要求应答表</w:t>
      </w:r>
    </w:p>
    <w:p>
      <w:pPr>
        <w:pStyle w:val="null3"/>
        <w:ind w:firstLine="960"/>
      </w:pPr>
      <w:r>
        <w:rPr>
          <w:rFonts w:ascii="仿宋_GB2312" w:hAnsi="仿宋_GB2312" w:cs="仿宋_GB2312" w:eastAsia="仿宋_GB2312"/>
        </w:rPr>
        <w:t>详见附件：采购标的成本说明、供应商相关专利及专有技术情况说明、同类项目合同价格说明</w:t>
      </w:r>
    </w:p>
    <w:p>
      <w:pPr>
        <w:pStyle w:val="null3"/>
        <w:ind w:firstLine="960"/>
      </w:pPr>
      <w:r>
        <w:rPr>
          <w:rFonts w:ascii="仿宋_GB2312" w:hAnsi="仿宋_GB2312" w:cs="仿宋_GB2312" w:eastAsia="仿宋_GB2312"/>
        </w:rPr>
        <w:t>详见附件：协商保证金交纳凭据</w:t>
      </w:r>
    </w:p>
    <w:p>
      <w:pPr>
        <w:pStyle w:val="null3"/>
        <w:ind w:firstLine="960"/>
      </w:pPr>
      <w:r>
        <w:rPr>
          <w:rFonts w:ascii="仿宋_GB2312" w:hAnsi="仿宋_GB2312" w:cs="仿宋_GB2312" w:eastAsia="仿宋_GB2312"/>
        </w:rPr>
        <w:t>详见附件：供应商承诺书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