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版本号：ZCSP-渭南市-2026-0003820260323001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2025年第五批省级水利救灾资金渭河渭南市城区段堤防赤水河桥段护岸水毁修复工程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ZCSP-渭南市-2026-00038</w:t>
      </w:r>
      <w:r>
        <w:br/>
      </w:r>
      <w:r>
        <w:br/>
      </w:r>
      <w:r>
        <w:br/>
      </w:r>
    </w:p>
    <w:p>
      <w:pPr>
        <w:pStyle w:val="null3"/>
        <w:jc w:val="center"/>
        <w:outlineLvl w:val="2"/>
      </w:pPr>
      <w:r>
        <w:rPr>
          <w:rFonts w:ascii="仿宋_GB2312" w:hAnsi="仿宋_GB2312" w:cs="仿宋_GB2312" w:eastAsia="仿宋_GB2312"/>
          <w:sz w:val="28"/>
          <w:b/>
        </w:rPr>
        <w:t>渭南市渭河生态区保护中心</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渭南市渭河生态区保护中心</w:t>
      </w:r>
      <w:r>
        <w:rPr>
          <w:rFonts w:ascii="仿宋_GB2312" w:hAnsi="仿宋_GB2312" w:cs="仿宋_GB2312" w:eastAsia="仿宋_GB2312"/>
        </w:rPr>
        <w:t>委托，拟对</w:t>
      </w:r>
      <w:r>
        <w:rPr>
          <w:rFonts w:ascii="仿宋_GB2312" w:hAnsi="仿宋_GB2312" w:cs="仿宋_GB2312" w:eastAsia="仿宋_GB2312"/>
        </w:rPr>
        <w:t>2025年第五批省级水利救灾资金渭河渭南市城区段堤防赤水河桥段护岸水毁修复工程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2025年第五批省级水利救灾资金渭河渭南市城区段堤防赤水河桥段护岸水毁修复工程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修复12#、13#桥墩之间浆砌石护坡62m，其中左右岸均31m;铅丝笼石护根98m，其中左右岸均为49m。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采购包1（2025年第五批省级水利救灾资金渭河渭南市城区段堤防赤水河桥段护岸水毁修复工程）：属于专门面向中小企业采购。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参与磋商时需提供法定代表人身份证明书（附法定代表人身份证复印件）；被授权人参与磋商时需提供法定代表人身份证明书与法定代表人授权委托书（附法定代表人及被授权人身份证复印件）；</w:t>
      </w:r>
    </w:p>
    <w:p>
      <w:pPr>
        <w:pStyle w:val="null3"/>
      </w:pPr>
      <w:r>
        <w:rPr>
          <w:rFonts w:ascii="仿宋_GB2312" w:hAnsi="仿宋_GB2312" w:cs="仿宋_GB2312" w:eastAsia="仿宋_GB2312"/>
        </w:rPr>
        <w:t>2、企业资质：供应商须具备水利水电工程施工总承包三级以上（含三级）资质，并具有有效的安全生产许可证；</w:t>
      </w:r>
    </w:p>
    <w:p>
      <w:pPr>
        <w:pStyle w:val="null3"/>
      </w:pPr>
      <w:r>
        <w:rPr>
          <w:rFonts w:ascii="仿宋_GB2312" w:hAnsi="仿宋_GB2312" w:cs="仿宋_GB2312" w:eastAsia="仿宋_GB2312"/>
        </w:rPr>
        <w:t>3、项目经理：拟派项目经理须具有水利水电工程二级及以上注册建造师资格并具有有效的水安B证，且无在建项目；</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渭南市渭河生态区保护中心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陕西省渭南市临渭区前进路北段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0913-2055422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杨曦彤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采购包1：796,700.00元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渭南市渭河生态区保护中心</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渭南市渭河生态区保护中心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渭南市渭河生态区保护中心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1、本工程应按工程量清单、图纸及磋商文件全部内容完成。 2、本工程验收标准应符合国家相关工程管理规定及行业标准。 3、依据磋商文件及成交人响应文件及签证单等文件内容进行验收。 4、供应商严格执行安全措施和交通组织措施，以保证施工及过往行人人身安全，杜绝安全事故的发生，因施工原因造成安全事故的责任和损失由成交人自行承担，采购人概不负责任和赔偿。 5、供应商负责施工期间与相关部门的协调，并承担相关责任及发生的相关费用，必须确保本项目施工最终验收通过。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联系人：李绒</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地址：陕西省渭南市临渭区乐天大街福乐新村东1号</w:t>
      </w:r>
    </w:p>
    <w:p>
      <w:pPr>
        <w:pStyle w:val="null3"/>
      </w:pPr>
      <w:r>
        <w:rPr>
          <w:rFonts w:ascii="仿宋_GB2312" w:hAnsi="仿宋_GB2312" w:cs="仿宋_GB2312" w:eastAsia="仿宋_GB2312"/>
        </w:rPr>
        <w:t>邮编：0913-2130688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796,700.00</w:t>
      </w:r>
    </w:p>
    <w:p>
      <w:pPr>
        <w:pStyle w:val="null3"/>
      </w:pPr>
      <w:r>
        <w:rPr>
          <w:rFonts w:ascii="仿宋_GB2312" w:hAnsi="仿宋_GB2312" w:cs="仿宋_GB2312" w:eastAsia="仿宋_GB2312"/>
        </w:rPr>
        <w:t>采购包最高限价（元）: 741,683.25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2025年第五批省级水利救灾资金渭河渭南市城区段堤防赤水河桥段护岸水毁修复工程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796,700.00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标的名称：2025年第五批省级水利救灾资金渭河渭南市城区段堤防赤水河桥段护岸水毁修复工程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rPr>
              <w:t>修复12#、13#桥墩之间浆砌石护坡62m，其中左右岸均31m;铅丝笼石护根98m，其中左右岸均为49m。具体详见工程量清单和图纸。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成交人在施工过程中必须使用国家或地方颁布的有关规范、标准、规定。 《水利水电建设工程验收规程》(S/T223-2025) 《施工现场临时用电安全技术规范》(JGJ46-88) 《建设工程施工现场供用电安全规范》(GB 50194-93) 《建设施工安全检查标准》(JGJ59-99) 《水利水电工程等级划分及洪水标准》(SL252-2017) 《防洪标准》(GB50201-2014) 《建筑边坡工程技术规范》(GB50330-2013) 《沥青路面施工技术规范》(JTG F40-2017) 《公路路基施工技术规范》(JTG/T3610-2019) 《环境影响评价技术导则水利水电工程》(HJ/T88-2003) 《中国地震动参数区划图》(GB18306-2015) 《砌体结构设计规范》(GB5003-2016) 《堤防工程设计规范》(GB50286-2013) 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2、工程地点：渭南市；3、质量标准：合格，达到国家现行技术标准；4、质保期：自竣工验收合格之日起一年；5、在施工范围内按施工内容和要求制定详细的施工组织设计方案，方案科学、合理、可靠；6、人员配备合理。有针对本项目的项目团队，项目经理、配备人员分工明确（应有具体成员名单，包括姓名、工作职责等）；7、有各类突发事件的应急预案和措施，有明确的具体承诺；8、供应商必须按法律、法规及有关政策规定为其工作人员购买相关保险。9、供应商的工作人员数量必须满足采购人的实际工作要求，且穿着统一标识的工作服；10、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根据《政府采购法实施条例》释义，银行、保险、石油石化、电力、电信等有行业特殊情况的，允许法人的分支机构参加政府采购活动；2、中标（成交）供应商在中标（成交）结果公告发布后3个工作日内提供叁套纸质响应文件（经编标工具生成的文件直接打印并加盖公章），递交的纸质版文件内容确保与线上电子文件保持一致，不允许修改和补充； 3、成交供应商应在磋商会议结束后3日内向采购人提交最终版《工程量清单表》，供应商最终版《工程量清单表》中的总报价应与最终磋商总报价保持一致。 4、中小企业划型标准：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合法有效，具有独立承担民事责任的能力的证明材料；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2024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（2）税收缴纳证明：提供响应文件递交截止时间前一年内任意一个月的缴费凭据（依法免税的供应商应提供相关文件证明）； （3）社会保障资金缴纳证明：提供响应文件递交截止时间前一年内任意一个月的社保缴费凭据或社保机构开具的社会保险参保缴费情况证明（依法不需要缴纳社会保障资金的供应商应提供相关证明）；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若采用承诺制，供应商可根据本磋商文件格式要求出具承诺函，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法定代表人参与磋商时需提供法定代表人身份证明书（附法定代表人身份证复印件）；被授权人参与磋商时需提供法定代表人身份证明书与法定代表人授权委托书（附法定代表人及被授权人身份证复印件）；</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供应商须具备水利水电工程施工总承包三级以上（含三级）资质，并具有有效的安全生产许可证；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拟派项目经理须具有水利水电工程二级及以上注册建造师资格并具有有效的水安B证，且无在建项目；</w:t>
            </w:r>
          </w:p>
        </w:tc>
        <w:tc>
          <w:tcPr>
            <w:tcW w:type="dxa" w:w="1661"/>
          </w:tcPr>
          <w:p>
            <w:pPr>
              <w:pStyle w:val="null3"/>
            </w:pPr>
            <w:r>
              <w:rPr>
                <w:rFonts w:ascii="仿宋_GB2312" w:hAnsi="仿宋_GB2312" w:cs="仿宋_GB2312" w:eastAsia="仿宋_GB2312"/>
              </w:rPr>
              <w:t>资格审查.docx 项目管理机构组成表 标的清单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供应商名称应与营业执照、资质证书、安全生产许可证及获取磋商文件时相一致。</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资格审查.docx 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③各个进度衔接的保证措施。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（一）评审内容：①环境卫生管理制度；②防尘降噪措施； ③文明施工及环境保护措施。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（一）评审内容： 内容至少包括①项目管理机构图；②项目管理人员配备及岗位职责。（二）评审标准：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供应商提供近三年（2023年3月至今）的类似业绩，每提供一份得1分，最多得3分，未提供得0分。（提供合同扫描件，以合同签订时间为准）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满足竞争性磋商文件要求且磋商价格最低的最终磋商报价为磋商基准价，得满分40分； (3) 磋商报价得分=(磋商基准价／最终磋商报价)×40%×100。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详见附件：资格审查.docx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