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版本号：ZCSP-渭南市-2026-0004220260325002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临渭区大气污染防治“一区一策”团队咨询服务项目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ZCSP-渭南市-2026-00042</w:t>
      </w:r>
      <w:r>
        <w:br/>
      </w:r>
      <w:r>
        <w:br/>
      </w:r>
      <w:r>
        <w:br/>
      </w:r>
    </w:p>
    <w:p>
      <w:pPr>
        <w:pStyle w:val="null3"/>
        <w:jc w:val="center"/>
        <w:outlineLvl w:val="2"/>
      </w:pPr>
      <w:r>
        <w:rPr>
          <w:rFonts w:ascii="仿宋_GB2312" w:hAnsi="仿宋_GB2312" w:cs="仿宋_GB2312" w:eastAsia="仿宋_GB2312"/>
          <w:sz w:val="28"/>
          <w:b/>
        </w:rPr>
        <w:t>渭南市生态环境局临渭分局</w:t>
      </w:r>
    </w:p>
    <w:p>
      <w:pPr>
        <w:pStyle w:val="null3"/>
        <w:jc w:val="center"/>
        <w:outlineLvl w:val="2"/>
      </w:pPr>
      <w:r>
        <w:rPr>
          <w:rFonts w:ascii="仿宋_GB2312" w:hAnsi="仿宋_GB2312" w:cs="仿宋_GB2312" w:eastAsia="仿宋_GB2312"/>
          <w:sz w:val="28"/>
          <w:b/>
        </w:rPr>
        <w:t>新瑞建设有限公司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新瑞建设有限公司</w:t>
      </w:r>
      <w:r>
        <w:rPr>
          <w:rFonts w:ascii="仿宋_GB2312" w:hAnsi="仿宋_GB2312" w:cs="仿宋_GB2312" w:eastAsia="仿宋_GB2312"/>
        </w:rPr>
        <w:t>（以下简称“代理机构”）受</w:t>
      </w:r>
      <w:r>
        <w:rPr>
          <w:rFonts w:ascii="仿宋_GB2312" w:hAnsi="仿宋_GB2312" w:cs="仿宋_GB2312" w:eastAsia="仿宋_GB2312"/>
        </w:rPr>
        <w:t>渭南市生态环境局临渭分局</w:t>
      </w:r>
      <w:r>
        <w:rPr>
          <w:rFonts w:ascii="仿宋_GB2312" w:hAnsi="仿宋_GB2312" w:cs="仿宋_GB2312" w:eastAsia="仿宋_GB2312"/>
        </w:rPr>
        <w:t>委托，拟对</w:t>
      </w:r>
      <w:r>
        <w:rPr>
          <w:rFonts w:ascii="仿宋_GB2312" w:hAnsi="仿宋_GB2312" w:cs="仿宋_GB2312" w:eastAsia="仿宋_GB2312"/>
        </w:rPr>
        <w:t>临渭区大气污染防治“一区一策”团队咨询服务项目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ZCSP-渭南市-2026-00042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临渭区大气污染防治“一区一策”团队咨询服务项目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提供驻点技术服务团队、环境因子溯源监测、红外热成像飞行溯源、走航监测车监测技术服务、道路积尘负荷走航、颗粒物激光雷达溯源、无人机巡查及飞行走航、露天焚烧卫星遥感监测等服务。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采购包1（临渭区大气污染防治“一区一策”团队咨询服务项目）：属于专门面向中小企业采购。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1、法定代表人身份证明书/法定代表人授权书：法定代表人参与投标时需提供法定代表人身份证明书；被授权人参与投标时需提供法定代表人身份证明书及法定代表人授权委托书；</w:t>
      </w:r>
    </w:p>
    <w:p>
      <w:pPr>
        <w:pStyle w:val="null3"/>
      </w:pPr>
      <w:r>
        <w:rPr>
          <w:rFonts w:ascii="仿宋_GB2312" w:hAnsi="仿宋_GB2312" w:cs="仿宋_GB2312" w:eastAsia="仿宋_GB2312"/>
        </w:rPr>
        <w:t>2、投标保证金交纳凭证：投标保证金交纳凭证；</w:t>
      </w:r>
    </w:p>
    <w:p>
      <w:pPr>
        <w:pStyle w:val="null3"/>
      </w:pPr>
      <w:r>
        <w:rPr>
          <w:rFonts w:ascii="仿宋_GB2312" w:hAnsi="仿宋_GB2312" w:cs="仿宋_GB2312" w:eastAsia="仿宋_GB2312"/>
        </w:rPr>
        <w:t>3、信用信息：投标人不得为“信用中国”网站（www.creditchina.gov.cn）中列入失信被执行人和重大税收违法失信主体的投标人，不得为中国政府采购网（www.ccgp.gov.cn）中列入政府采购严重违法失信行为记录名单的投标人。</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渭南市生态环境局临渭分局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临渭区老城街农园路4号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0913-3035518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新瑞建设有限公司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陕西省渭南市临渭区解放路北段渭河大街东段南侧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任玮强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0913-2136088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刘洁</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开户名称：新瑞建设有限公司</w:t>
            </w:r>
          </w:p>
          <w:p>
            <w:pPr>
              <w:pStyle w:val="null3"/>
            </w:pPr>
            <w:r>
              <w:rPr>
                <w:rFonts w:ascii="仿宋_GB2312" w:hAnsi="仿宋_GB2312" w:cs="仿宋_GB2312" w:eastAsia="仿宋_GB2312"/>
              </w:rPr>
              <w:t>开户银行：中国工商银行渭南乐天花园支行（行号：102797050086）</w:t>
            </w:r>
          </w:p>
          <w:p>
            <w:pPr>
              <w:pStyle w:val="null3"/>
            </w:pPr>
            <w:r>
              <w:rPr>
                <w:rFonts w:ascii="仿宋_GB2312" w:hAnsi="仿宋_GB2312" w:cs="仿宋_GB2312" w:eastAsia="仿宋_GB2312"/>
              </w:rPr>
              <w:t>银行账号：2605041319200030511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招标代理服务收费管理暂行办法》（国家发改委计价格〔2002〕1980号）以及国家发改价格〔2011〕534号文件规定计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渭南市生态环境局临渭分局</w:t>
      </w:r>
      <w:r>
        <w:rPr>
          <w:rFonts w:ascii="仿宋_GB2312" w:hAnsi="仿宋_GB2312" w:cs="仿宋_GB2312" w:eastAsia="仿宋_GB2312"/>
        </w:rPr>
        <w:t>和</w:t>
      </w:r>
      <w:r>
        <w:rPr>
          <w:rFonts w:ascii="仿宋_GB2312" w:hAnsi="仿宋_GB2312" w:cs="仿宋_GB2312" w:eastAsia="仿宋_GB2312"/>
        </w:rPr>
        <w:t>新瑞建设有限公司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渭南市生态环境局临渭分局</w:t>
      </w:r>
      <w:r>
        <w:rPr>
          <w:rFonts w:ascii="仿宋_GB2312" w:hAnsi="仿宋_GB2312" w:cs="仿宋_GB2312" w:eastAsia="仿宋_GB2312"/>
        </w:rPr>
        <w:t>负责解释。除上述招标文件内容，其他内容由</w:t>
      </w:r>
      <w:r>
        <w:rPr>
          <w:rFonts w:ascii="仿宋_GB2312" w:hAnsi="仿宋_GB2312" w:cs="仿宋_GB2312" w:eastAsia="仿宋_GB2312"/>
        </w:rPr>
        <w:t>新瑞建设有限公司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渭南市生态环境局临渭分局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新瑞建设有限公司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达到国家及行业验收合格标准。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联系人：任玮强</w:t>
      </w:r>
    </w:p>
    <w:p>
      <w:pPr>
        <w:pStyle w:val="null3"/>
      </w:pPr>
      <w:r>
        <w:rPr>
          <w:rFonts w:ascii="仿宋_GB2312" w:hAnsi="仿宋_GB2312" w:cs="仿宋_GB2312" w:eastAsia="仿宋_GB2312"/>
        </w:rPr>
        <w:t>联系电话：0913-2136088</w:t>
      </w:r>
    </w:p>
    <w:p>
      <w:pPr>
        <w:pStyle w:val="null3"/>
      </w:pPr>
      <w:r>
        <w:rPr>
          <w:rFonts w:ascii="仿宋_GB2312" w:hAnsi="仿宋_GB2312" w:cs="仿宋_GB2312" w:eastAsia="仿宋_GB2312"/>
        </w:rPr>
        <w:t>地址：陕西省渭南市临渭区解放路北段渭河大街东段南侧</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提供驻点技术服务团队、环境因子溯源监测、红外热成像飞行溯源、走航监测车监测技术服务、道路积尘负荷走航、颗粒物激光雷达溯源、无人机巡查及飞行走航、露天焚烧卫星遥感监测等服务。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2,800,000.00</w:t>
      </w:r>
    </w:p>
    <w:p>
      <w:pPr>
        <w:pStyle w:val="null3"/>
      </w:pPr>
      <w:r>
        <w:rPr>
          <w:rFonts w:ascii="仿宋_GB2312" w:hAnsi="仿宋_GB2312" w:cs="仿宋_GB2312" w:eastAsia="仿宋_GB2312"/>
        </w:rPr>
        <w:t>采购包最高限价（元）: 2,800,000.00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临渭区大气污染防治一区一策团队咨询服务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2,800,000.00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标的名称：临渭区大气污染防治一区一策团队咨询服务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rPr>
              <w:t>根据临渭区空气质量现状，建立本地化空气质量精细化管理技术咨询服务专家团队（由专业的技术人员组成的技术团队），为临渭区提供污染成因诊断、精准化溯源消源等大气污染防控手段，以及环境目标分解和专家决策支持、空气质量目标管理服务，周期一年。</w:t>
            </w:r>
          </w:p>
          <w:p>
            <w:pPr>
              <w:pStyle w:val="null3"/>
            </w:pPr>
            <w:r>
              <w:rPr>
                <w:rFonts w:ascii="仿宋_GB2312" w:hAnsi="仿宋_GB2312" w:cs="仿宋_GB2312" w:eastAsia="仿宋_GB2312"/>
              </w:rPr>
              <w:t>1.驻点服务团队人员配置：本项目服务期间，至少配备驻场人员5名（其中：现场负责人1名；现场排查污染源及处理污染事件专职人员2名；数据分析人员2名）；至少配备非驻场项目经理1名。</w:t>
            </w:r>
          </w:p>
          <w:p>
            <w:pPr>
              <w:pStyle w:val="null3"/>
            </w:pPr>
            <w:r>
              <w:rPr>
                <w:rFonts w:ascii="仿宋_GB2312" w:hAnsi="仿宋_GB2312" w:cs="仿宋_GB2312" w:eastAsia="仿宋_GB2312"/>
              </w:rPr>
              <w:t>人员要求：应具有丰富的环境污染防治知识，包括气象分析、污染分析、污染源巡查及管控、污染预警预报等多方面技能，具有相关工作经验。</w:t>
            </w:r>
          </w:p>
          <w:p>
            <w:pPr>
              <w:pStyle w:val="null3"/>
            </w:pPr>
            <w:r>
              <w:rPr>
                <w:rFonts w:ascii="仿宋_GB2312" w:hAnsi="仿宋_GB2312" w:cs="仿宋_GB2312" w:eastAsia="仿宋_GB2312"/>
              </w:rPr>
              <w:t xml:space="preserve">  专业驻场团队主要工作内容如下：</w:t>
            </w:r>
          </w:p>
          <w:p>
            <w:pPr>
              <w:pStyle w:val="null3"/>
            </w:pPr>
            <w:r>
              <w:rPr>
                <w:rFonts w:ascii="仿宋_GB2312" w:hAnsi="仿宋_GB2312" w:cs="仿宋_GB2312" w:eastAsia="仿宋_GB2312"/>
              </w:rPr>
              <w:t>1）环境空气质量实时数据分析和管控调度服务</w:t>
            </w:r>
          </w:p>
          <w:p>
            <w:pPr>
              <w:pStyle w:val="null3"/>
            </w:pPr>
            <w:r>
              <w:rPr>
                <w:rFonts w:ascii="仿宋_GB2312" w:hAnsi="仿宋_GB2312" w:cs="仿宋_GB2312" w:eastAsia="仿宋_GB2312"/>
              </w:rPr>
              <w:t>2）污染成因分析专报和长效管控方案服务</w:t>
            </w:r>
          </w:p>
          <w:p>
            <w:pPr>
              <w:pStyle w:val="null3"/>
            </w:pPr>
            <w:r>
              <w:rPr>
                <w:rFonts w:ascii="仿宋_GB2312" w:hAnsi="仿宋_GB2312" w:cs="仿宋_GB2312" w:eastAsia="仿宋_GB2312"/>
              </w:rPr>
              <w:t>3）污染源现场巡查和实时调度服务</w:t>
            </w:r>
          </w:p>
          <w:p>
            <w:pPr>
              <w:pStyle w:val="null3"/>
            </w:pPr>
            <w:r>
              <w:rPr>
                <w:rFonts w:ascii="仿宋_GB2312" w:hAnsi="仿宋_GB2312" w:cs="仿宋_GB2312" w:eastAsia="仿宋_GB2312"/>
              </w:rPr>
              <w:t>4）空气质量预警预报服务</w:t>
            </w:r>
          </w:p>
          <w:p>
            <w:pPr>
              <w:pStyle w:val="null3"/>
            </w:pPr>
            <w:r>
              <w:rPr>
                <w:rFonts w:ascii="仿宋_GB2312" w:hAnsi="仿宋_GB2312" w:cs="仿宋_GB2312" w:eastAsia="仿宋_GB2312"/>
              </w:rPr>
              <w:t>5）构建定制化的科技治霾工作机制</w:t>
            </w:r>
          </w:p>
          <w:p>
            <w:pPr>
              <w:pStyle w:val="null3"/>
            </w:pPr>
            <w:r>
              <w:rPr>
                <w:rFonts w:ascii="仿宋_GB2312" w:hAnsi="仿宋_GB2312" w:cs="仿宋_GB2312" w:eastAsia="仿宋_GB2312"/>
              </w:rPr>
              <w:t>6）综合协助、协调工作服务</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640"/>
              <w:jc w:val="both"/>
            </w:pPr>
            <w:r>
              <w:rPr>
                <w:rFonts w:ascii="仿宋_GB2312" w:hAnsi="仿宋_GB2312" w:cs="仿宋_GB2312" w:eastAsia="仿宋_GB2312"/>
              </w:rPr>
              <w:t>2.环境因子溯源监测服务</w:t>
            </w:r>
          </w:p>
          <w:p>
            <w:pPr>
              <w:pStyle w:val="null3"/>
            </w:pPr>
            <w:r>
              <w:rPr>
                <w:rFonts w:ascii="仿宋_GB2312" w:hAnsi="仿宋_GB2312" w:cs="仿宋_GB2312" w:eastAsia="仿宋_GB2312"/>
              </w:rPr>
              <w:t>监测内容：PM10、PM2.5、CO、O3、NO2、SO2，利用监测设备快速溯源，掌握高值区域并及时反馈问题，为分析研判提供数据支撑。每月不少于8次溯源监测，秋冬季重污染天气情况下持续溯源监测。</w:t>
            </w:r>
          </w:p>
          <w:p>
            <w:pPr>
              <w:pStyle w:val="null3"/>
            </w:pPr>
            <w:r>
              <w:rPr>
                <w:rFonts w:ascii="仿宋_GB2312" w:hAnsi="仿宋_GB2312" w:cs="仿宋_GB2312" w:eastAsia="仿宋_GB2312"/>
              </w:rPr>
              <w:t>使用设备技术要求：</w:t>
            </w:r>
          </w:p>
          <w:p>
            <w:pPr>
              <w:pStyle w:val="null3"/>
            </w:pPr>
            <w:r>
              <w:rPr>
                <w:rFonts w:ascii="仿宋_GB2312" w:hAnsi="仿宋_GB2312" w:cs="仿宋_GB2312" w:eastAsia="仿宋_GB2312"/>
              </w:rPr>
              <w:t>（1）检测项目包含但不限于PM2.5、PM10、CO、NO2、O3、SO2等多种气体，并能同步显示温度、湿度；</w:t>
            </w:r>
          </w:p>
          <w:p>
            <w:pPr>
              <w:pStyle w:val="null3"/>
            </w:pPr>
            <w:r>
              <w:rPr>
                <w:rFonts w:ascii="仿宋_GB2312" w:hAnsi="仿宋_GB2312" w:cs="仿宋_GB2312" w:eastAsia="仿宋_GB2312"/>
              </w:rPr>
              <w:t>▲（2）应配备有气密性的气室：通过主动进气孔和尾部风扇主动通气到密闭气室，气室中上下排列气体传感器的探头；</w:t>
            </w:r>
          </w:p>
          <w:p>
            <w:pPr>
              <w:pStyle w:val="null3"/>
            </w:pPr>
            <w:r>
              <w:rPr>
                <w:rFonts w:ascii="仿宋_GB2312" w:hAnsi="仿宋_GB2312" w:cs="仿宋_GB2312" w:eastAsia="仿宋_GB2312"/>
              </w:rPr>
              <w:t>▲（3）应具备高亮浓度警示灯提示功能：颜色和报警值可自定义，可设置为自动跟随气体浓度变化；</w:t>
            </w:r>
          </w:p>
          <w:p>
            <w:pPr>
              <w:pStyle w:val="null3"/>
            </w:pPr>
            <w:r>
              <w:rPr>
                <w:rFonts w:ascii="仿宋_GB2312" w:hAnsi="仿宋_GB2312" w:cs="仿宋_GB2312" w:eastAsia="仿宋_GB2312"/>
              </w:rPr>
              <w:t>▲（4）气体分析软件应同时支持Windows平台及移动端平台，需要具备如下数据可视化功能：</w:t>
            </w:r>
          </w:p>
          <w:p>
            <w:pPr>
              <w:pStyle w:val="null3"/>
            </w:pPr>
            <w:r>
              <w:rPr>
                <w:rFonts w:ascii="仿宋_GB2312" w:hAnsi="仿宋_GB2312" w:cs="仿宋_GB2312" w:eastAsia="仿宋_GB2312"/>
              </w:rPr>
              <w:t>①实时显示气体检测仪的工作状态，包括卫星数、待传数据量、相对高度、设备昵称，并且控制设备的高亮警示灯、采气泵等功能；</w:t>
            </w:r>
          </w:p>
          <w:p>
            <w:pPr>
              <w:pStyle w:val="null3"/>
            </w:pPr>
            <w:r>
              <w:rPr>
                <w:rFonts w:ascii="仿宋_GB2312" w:hAnsi="仿宋_GB2312" w:cs="仿宋_GB2312" w:eastAsia="仿宋_GB2312"/>
              </w:rPr>
              <w:t>②具备数据断点续传功能，通信中断时采集到的任务数据不会丢失，且会在连接重新建立后自动追回，并显示待传数据量。</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640"/>
              <w:jc w:val="both"/>
            </w:pPr>
            <w:r>
              <w:rPr>
                <w:rFonts w:ascii="仿宋_GB2312" w:hAnsi="仿宋_GB2312" w:cs="仿宋_GB2312" w:eastAsia="仿宋_GB2312"/>
              </w:rPr>
              <w:t>3.红外热成像飞行溯源服务</w:t>
            </w:r>
          </w:p>
          <w:p>
            <w:pPr>
              <w:pStyle w:val="null3"/>
            </w:pPr>
            <w:r>
              <w:rPr>
                <w:rFonts w:ascii="仿宋_GB2312" w:hAnsi="仿宋_GB2312" w:cs="仿宋_GB2312" w:eastAsia="仿宋_GB2312"/>
              </w:rPr>
              <w:t>通过无人机搭载先进的红外热成像设备，对所监测的20个重点村落进行快速、全面的高空热成像数据采集。在高空对大面积区域进行扫描监测，精准定位散煤燃烧点的地理位置，精确到具体精度范围内。同时，利用红外热成像技术的高灵敏度，清晰识别散煤燃烧产生的热源特征，有效区分散煤燃烧与其他热源。实现对采集数据的实时传输与初步处理，在飞行过程中即可对重点区域或异常目标进行预警提示。基于先进的数据处理算法与分析模型，对热成像数据进行深度分析，准确追溯目标物体的起源位置、运动轨迹及变化趋势。秋冬季期间溯源排查30次。每次巡查完后以报告形式进行反馈。</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firstLine="640"/>
              <w:jc w:val="both"/>
            </w:pPr>
            <w:r>
              <w:rPr>
                <w:rFonts w:ascii="仿宋_GB2312" w:hAnsi="仿宋_GB2312" w:cs="仿宋_GB2312" w:eastAsia="仿宋_GB2312"/>
              </w:rPr>
              <w:t>4.走航监测车监测技术服务</w:t>
            </w:r>
          </w:p>
          <w:p>
            <w:pPr>
              <w:pStyle w:val="null3"/>
            </w:pPr>
            <w:r>
              <w:rPr>
                <w:rFonts w:ascii="仿宋_GB2312" w:hAnsi="仿宋_GB2312" w:cs="仿宋_GB2312" w:eastAsia="仿宋_GB2312"/>
              </w:rPr>
              <w:t>利用采购人提供的环境应急监测车定期开展走航监测和定点监测技术服务，每月不少于4次。夏季根据采购方挥发性有机物排查需要，可加密巡查频次。服务期限：12个月，每次服务完成后形成技术报告。</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ind w:firstLine="640"/>
              <w:jc w:val="both"/>
            </w:pPr>
            <w:r>
              <w:rPr>
                <w:rFonts w:ascii="仿宋_GB2312" w:hAnsi="仿宋_GB2312" w:cs="仿宋_GB2312" w:eastAsia="仿宋_GB2312"/>
              </w:rPr>
              <w:t>5.道路积尘负荷走航监测技术服务</w:t>
            </w:r>
          </w:p>
          <w:p>
            <w:pPr>
              <w:pStyle w:val="null3"/>
            </w:pPr>
            <w:r>
              <w:rPr>
                <w:rFonts w:ascii="仿宋_GB2312" w:hAnsi="仿宋_GB2312" w:cs="仿宋_GB2312" w:eastAsia="仿宋_GB2312"/>
              </w:rPr>
              <w:t>对临渭区主要道路，原则上按照每月2次开展道路积尘走航监测，每次服务完成后形成技术报告，频次可根据季节性特征进行调整。本服务须按照国家标准要求进行评价道路积尘量，并对主要道路进行考核监管及管控。</w:t>
            </w:r>
          </w:p>
          <w:p>
            <w:pPr>
              <w:pStyle w:val="null3"/>
            </w:pPr>
            <w:r>
              <w:rPr>
                <w:rFonts w:ascii="仿宋_GB2312" w:hAnsi="仿宋_GB2312" w:cs="仿宋_GB2312" w:eastAsia="仿宋_GB2312"/>
              </w:rPr>
              <w:t>使用设备技术要求：</w:t>
            </w:r>
          </w:p>
          <w:p>
            <w:pPr>
              <w:pStyle w:val="null3"/>
            </w:pPr>
            <w:r>
              <w:rPr>
                <w:rFonts w:ascii="仿宋_GB2312" w:hAnsi="仿宋_GB2312" w:cs="仿宋_GB2312" w:eastAsia="仿宋_GB2312"/>
              </w:rPr>
              <w:t>采用激光散射法，通过对道路积尘再激发，经数据校准后得出积尘负荷。产品主要包括车顶城市扬尘采集器、车内道路积尘监测主机和车内道路激尘采集器三大部分及其他辅助部件组成。通过车顶设备对环境空气取样，作为数据背景值；通过激尘采集器对地面激尘进行取样，作为采样值。经过检测主机的检测后，通过车重、车速，计算出道路积尘负荷值，设备终端电脑可实时显示积尘负荷值及道路清洁程度轨迹图。并将设备数据上传至云端平台。产品通过卫星定位，自动匹配车速及采样速率，通过计算，得出道路积尘负荷值（g/m2）。通过卫星定位系统，自动生成GIS地图轨迹报告。通过阈值设置，在地图上显示出各区域达标结果，并形成道路清洁程度排名及道路清洁程度云图，为使用者提供精细化的检测结果。</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ind w:firstLine="640"/>
              <w:jc w:val="both"/>
            </w:pPr>
            <w:r>
              <w:rPr>
                <w:rFonts w:ascii="仿宋_GB2312" w:hAnsi="仿宋_GB2312" w:cs="仿宋_GB2312" w:eastAsia="仿宋_GB2312"/>
              </w:rPr>
              <w:t>6.颗粒物激光雷达溯源服务</w:t>
            </w:r>
          </w:p>
          <w:p>
            <w:pPr>
              <w:pStyle w:val="null3"/>
            </w:pPr>
            <w:r>
              <w:rPr>
                <w:rFonts w:ascii="仿宋_GB2312" w:hAnsi="仿宋_GB2312" w:cs="仿宋_GB2312" w:eastAsia="仿宋_GB2312"/>
              </w:rPr>
              <w:t>针对区域内颗粒物快速溯源的污染源热点，每次通过颗粒物雷达排查污染源及研究区域气象并形成台账，提供雷达走航监测服务30次。按照采购方需求，主要针对主城区颗粒物分布区域及方位进行溯源，对露天焚烧集中时段进行扫描监测，通过垂扫观测边界层气象条件。</w:t>
            </w:r>
          </w:p>
          <w:p>
            <w:pPr>
              <w:pStyle w:val="null3"/>
            </w:pPr>
            <w:r>
              <w:rPr>
                <w:rFonts w:ascii="仿宋_GB2312" w:hAnsi="仿宋_GB2312" w:cs="仿宋_GB2312" w:eastAsia="仿宋_GB2312"/>
              </w:rPr>
              <w:t>使用设备技术要求：</w:t>
            </w:r>
          </w:p>
          <w:p>
            <w:pPr>
              <w:pStyle w:val="null3"/>
            </w:pPr>
            <w:r>
              <w:rPr>
                <w:rFonts w:ascii="仿宋_GB2312" w:hAnsi="仿宋_GB2312" w:cs="仿宋_GB2312" w:eastAsia="仿宋_GB2312"/>
              </w:rPr>
              <w:t>运用激光作为发射器的空间遥感技术原理，连续监测大气气溶胶的分布，分析气溶胶的时空演变。通过颗粒物激光雷达水平溯源服务，设置光程5公里为半径的颗粒物监测区域，对本区域颗粒物进行扫描式监测，实现区域环境监测全覆盖，实时监测，及时发现颗粒物污染源情况。分析异常点位原因及锁定主要污染源所在区域，精准治理，削峰降频，有效改善异常点位空气质量。</w:t>
            </w:r>
          </w:p>
          <w:p>
            <w:pPr>
              <w:pStyle w:val="null3"/>
            </w:pPr>
            <w:r>
              <w:rPr>
                <w:rFonts w:ascii="仿宋_GB2312" w:hAnsi="仿宋_GB2312" w:cs="仿宋_GB2312" w:eastAsia="仿宋_GB2312"/>
              </w:rPr>
              <w:t>（1）工作波长：单波长532nm；</w:t>
            </w:r>
          </w:p>
          <w:p>
            <w:pPr>
              <w:pStyle w:val="null3"/>
            </w:pPr>
            <w:r>
              <w:rPr>
                <w:rFonts w:ascii="仿宋_GB2312" w:hAnsi="仿宋_GB2312" w:cs="仿宋_GB2312" w:eastAsia="仿宋_GB2312"/>
              </w:rPr>
              <w:t>（2）单脉冲输出能量：≥1000μJ；</w:t>
            </w:r>
          </w:p>
          <w:p>
            <w:pPr>
              <w:pStyle w:val="null3"/>
            </w:pPr>
            <w:r>
              <w:rPr>
                <w:rFonts w:ascii="仿宋_GB2312" w:hAnsi="仿宋_GB2312" w:cs="仿宋_GB2312" w:eastAsia="仿宋_GB2312"/>
              </w:rPr>
              <w:t>▲（3）望远镜口径小于等于140mm；</w:t>
            </w:r>
          </w:p>
          <w:p>
            <w:pPr>
              <w:pStyle w:val="null3"/>
            </w:pPr>
            <w:r>
              <w:rPr>
                <w:rFonts w:ascii="仿宋_GB2312" w:hAnsi="仿宋_GB2312" w:cs="仿宋_GB2312" w:eastAsia="仿宋_GB2312"/>
              </w:rPr>
              <w:t>（4）最大探测距离：垂直有效探测距离≥15km；水平有效探测距离≥5km；</w:t>
            </w:r>
          </w:p>
          <w:p>
            <w:pPr>
              <w:pStyle w:val="null3"/>
            </w:pPr>
            <w:r>
              <w:rPr>
                <w:rFonts w:ascii="仿宋_GB2312" w:hAnsi="仿宋_GB2312" w:cs="仿宋_GB2312" w:eastAsia="仿宋_GB2312"/>
              </w:rPr>
              <w:t>（5）探测盲区≤75m；</w:t>
            </w:r>
          </w:p>
          <w:p>
            <w:pPr>
              <w:pStyle w:val="null3"/>
            </w:pPr>
            <w:r>
              <w:rPr>
                <w:rFonts w:ascii="仿宋_GB2312" w:hAnsi="仿宋_GB2312" w:cs="仿宋_GB2312" w:eastAsia="仿宋_GB2312"/>
              </w:rPr>
              <w:t>（6）在高湿条件下，系统具备去水汽干性气溶胶的反演功能；</w:t>
            </w:r>
          </w:p>
          <w:p>
            <w:pPr>
              <w:pStyle w:val="null3"/>
            </w:pPr>
            <w:r>
              <w:rPr>
                <w:rFonts w:ascii="仿宋_GB2312" w:hAnsi="仿宋_GB2312" w:cs="仿宋_GB2312" w:eastAsia="仿宋_GB2312"/>
              </w:rPr>
              <w:t>▲（7）自动准直功能：安装发射光路上的电动调整架，可进行光束的自动调整和准直；</w:t>
            </w:r>
          </w:p>
          <w:p>
            <w:pPr>
              <w:pStyle w:val="null3"/>
            </w:pPr>
            <w:r>
              <w:rPr>
                <w:rFonts w:ascii="仿宋_GB2312" w:hAnsi="仿宋_GB2312" w:cs="仿宋_GB2312" w:eastAsia="仿宋_GB2312"/>
              </w:rPr>
              <w:t>▲（8）通过调用配置文件中的退偏振系数,对激光雷达退偏振曲线进行矫正和质量控制；</w:t>
            </w:r>
          </w:p>
          <w:p>
            <w:pPr>
              <w:pStyle w:val="null3"/>
            </w:pPr>
            <w:r>
              <w:rPr>
                <w:rFonts w:ascii="仿宋_GB2312" w:hAnsi="仿宋_GB2312" w:cs="仿宋_GB2312" w:eastAsia="仿宋_GB2312"/>
              </w:rPr>
              <w:t>▲（9）可调用分子分布高度分布模式文件，进行分子模式矫正和质量控制；</w:t>
            </w:r>
          </w:p>
          <w:p>
            <w:pPr>
              <w:pStyle w:val="null3"/>
            </w:pPr>
            <w:r>
              <w:rPr>
                <w:rFonts w:ascii="仿宋_GB2312" w:hAnsi="仿宋_GB2312" w:cs="仿宋_GB2312" w:eastAsia="仿宋_GB2312"/>
              </w:rPr>
              <w:t>▲（10）可调用气溶胶消光后向散射比文件，进行消光后向散射比矫正和质量控制。</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ind w:firstLine="640"/>
              <w:jc w:val="both"/>
            </w:pPr>
            <w:r>
              <w:rPr>
                <w:rFonts w:ascii="仿宋_GB2312" w:hAnsi="仿宋_GB2312" w:cs="仿宋_GB2312" w:eastAsia="仿宋_GB2312"/>
              </w:rPr>
              <w:t>7.无人机巡查及飞行走航服务</w:t>
            </w:r>
          </w:p>
          <w:p>
            <w:pPr>
              <w:pStyle w:val="null3"/>
            </w:pPr>
            <w:r>
              <w:rPr>
                <w:rFonts w:ascii="仿宋_GB2312" w:hAnsi="仿宋_GB2312" w:cs="仿宋_GB2312" w:eastAsia="仿宋_GB2312"/>
              </w:rPr>
              <w:t>（1）无人机巡查服务，即污染源现场巡查、督查、复查服务共计12个月，每月不少于8次飞行巡查，并建立台账。结合站点数据，通过无人机进行实地巡查，对发现的污染源及时调度整改。与走航车形成高低搭配，对走航时发现的高值数据，进行精细排查。同时，按照采购方的需求，结合露天焚烧、裸地排查等任务，开展相应工作。</w:t>
            </w:r>
          </w:p>
          <w:p>
            <w:pPr>
              <w:pStyle w:val="null3"/>
            </w:pPr>
            <w:r>
              <w:rPr>
                <w:rFonts w:ascii="仿宋_GB2312" w:hAnsi="仿宋_GB2312" w:cs="仿宋_GB2312" w:eastAsia="仿宋_GB2312"/>
              </w:rPr>
              <w:t>（2）飞行走航服务，利用专业无人机搭载便携式空气监测设备，进行专业飞行走航监测，每年提供不少于4次服务，每次服务以完成任务确定所需天数，并提供分析报告。主要针对主城区特征气态污染物、全区高值区域进行飞行走航，指导相关单位开展精细化排查。</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8.露天焚烧卫星遥感监测服务。在每年夏秋两季收种集中时段，通过提供卫星遥感监测服务，及时发现露天焚烧问题，每年不少于2次，每次不少于1个月。所提供的卫星需为环境监测及气象领域的主流卫星，主要以低轨卫星为主，并搭配高轨卫星同步监测，卫星颗数不少于10个。针对发现的焚烧问题，及时建立台账，并交办整改。</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1、供应商应及时向采购人汇报该项目完成进度。 2、在服务期间，若供应商所拟派的工作人员发生任何伤害，采购人概不负责，由供应商自行处理。 3、供应商除提供成果文件外，还应负责协助采购人完成成果文件的评审、验收等工作。</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渭南市临渭区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1、质量标准：达到国家及行业验收合格标准。 2、本项目由采购人及相关部门定期对项目进行阶段性验收，验收内容以报告和服务天数进行结算。 3、验收标准：按招标文件、投标文件及澄清函、项目检查情况等综合指标进行验收。各项指标均应符合验收标准及要求。 4、需执行的国家相关标准、行业标准、地方标准或者其他标准、规范标准：《中华人民共和国大气污染防治法》；《环境空气挥发性有机物的测定罐采样/气相色谱—质谱法》；《固定污染源废气甲硫醇等8种含硫有机化合物的测定气袋采样-预浓缩/气相色谱—质谱法》；《环境空气质量标准》；《挥发性有机物无组织排放标准》；《轻型汽车污染物排放限值及测量方法》；《车用压燃式、气体燃料点燃式发动机与汽车排气污染物排放限值及测量方法》；《汽油车污染物排放限值及测量方法》；《柴油车污染物排放限值及测量方法》；《固定污染源排气中颗粒物测定与气态污染物采样方法》；《固定污染源废气 氮氧化物的测定 定电位电解法》；《锅炉大气污染物排放标准》；其它行业、地方现行执行规范、规程、标准。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采购人按照进度付款，合同签订后10个工作日内</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项目执行中期</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供应商最终完成项目内容，采购人最终验收合格后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1.合同双方必须遵守本合同并执行合同中的各项规定，保证本合同的正常履行。 2.如因供应商工作人员在履行职务过程中的的疏忽、失职、过错等故意或者过失原因给采购人造成损失或侵害，包括但不限于采购人本身的财产损失、由此而导致的采购人对任何第三方的法律责任等，供应商对此均应承担全部的赔偿责任。 3.双方在执行合同中所发生的一切争议，应通过协商解决。如协商不成，可向采购人所在地法院起诉。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中标（成交）供应商在中标（成交）结果公告发布后3个工作日内提供叁套纸质投标文件（经编标工具生成的文件直接打印并加盖公章），递交的纸质版文件内容确保与线上电子文件保持一致，不允许修改和补充。2、关于印发中小企业划型标准规定的通知（工信部联企业〔2011〕300号），中小企业划型标准规定：（十六）其他未列明行业。从业人员300人以下的为中小微型企业。其中，从业人员100人及以上的为中型企业；从业人员10人及以上的为小型企业；从业人员10人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提供合法有效，具有独立承担民事责任能力的证明资料。</w:t>
            </w:r>
          </w:p>
        </w:tc>
        <w:tc>
          <w:tcPr>
            <w:tcW w:type="dxa" w:w="1661"/>
          </w:tcPr>
          <w:p>
            <w:pPr>
              <w:pStyle w:val="null3"/>
            </w:pPr>
            <w:r>
              <w:rPr>
                <w:rFonts w:ascii="仿宋_GB2312" w:hAnsi="仿宋_GB2312" w:cs="仿宋_GB2312" w:eastAsia="仿宋_GB2312"/>
              </w:rPr>
              <w:t>政府采购二十二条</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1）财务状况报告：提供具有财务审计资质单位出具的2024或2025年度财务审计报告（成立时间至开标时间不足一年的可提供成立后任意时段的资产负债表）或投标文件递交截止时间前六个月内其基本账户银行出具的资信证明（附基本账户证明）或政府采购信用担保机构出具的投标担保函； （2）税收缴纳证明：提供投标文件递交截止时间前一年内任意一个月的缴费凭据；依法免税的应提供相关文件证明； （3）社会保障资金缴纳证明：提供投标文件递交截止时间前一年内任意一个月的社保缴费凭据或社保机构开具的社会保险参保缴费情况证明；依法不需要缴纳社会保障资金的供应商应提供相关文件证明； 注：根据陕西省财政厅《关于进一步优化政府采购营商环境有关事项的通知》（陕财办采〔2023〕4号）关于供应商参与政府采购活动实行“承诺+信用管理”准入制度的要求，以上三项内容若采用承诺制，供应商可按本招标文件格式要求出具承诺函（详见附件1）；若供应商提供证明材料，则无需填写此承诺书；若二者同时提供，评审时以证明材料为准。中标供应商的承诺函将与中标结果一并公示。</w:t>
            </w:r>
          </w:p>
        </w:tc>
        <w:tc>
          <w:tcPr>
            <w:tcW w:type="dxa" w:w="1661"/>
          </w:tcPr>
          <w:p>
            <w:pPr>
              <w:pStyle w:val="null3"/>
            </w:pPr>
            <w:r>
              <w:rPr>
                <w:rFonts w:ascii="仿宋_GB2312" w:hAnsi="仿宋_GB2312" w:cs="仿宋_GB2312" w:eastAsia="仿宋_GB2312"/>
              </w:rPr>
              <w:t>政府采购二十二条</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具有履行合同的说明或承诺</w:t>
            </w:r>
          </w:p>
        </w:tc>
        <w:tc>
          <w:tcPr>
            <w:tcW w:type="dxa" w:w="3322"/>
          </w:tcPr>
          <w:p>
            <w:pPr>
              <w:pStyle w:val="null3"/>
            </w:pPr>
            <w:r>
              <w:rPr>
                <w:rFonts w:ascii="仿宋_GB2312" w:hAnsi="仿宋_GB2312" w:cs="仿宋_GB2312" w:eastAsia="仿宋_GB2312"/>
              </w:rPr>
              <w:t>提供具有履行本合同所必需的设备和专业技术能力的说明或承诺（格式自拟）。</w:t>
            </w:r>
          </w:p>
        </w:tc>
        <w:tc>
          <w:tcPr>
            <w:tcW w:type="dxa" w:w="1661"/>
          </w:tcPr>
          <w:p>
            <w:pPr>
              <w:pStyle w:val="null3"/>
            </w:pPr>
            <w:r>
              <w:rPr>
                <w:rFonts w:ascii="仿宋_GB2312" w:hAnsi="仿宋_GB2312" w:cs="仿宋_GB2312" w:eastAsia="仿宋_GB2312"/>
              </w:rPr>
              <w:t>政府采购二十二条</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提供参加政府采购活动前三年内在经营活动中没有重大违法记录的书面声明（格式自拟）。</w:t>
            </w:r>
          </w:p>
        </w:tc>
        <w:tc>
          <w:tcPr>
            <w:tcW w:type="dxa" w:w="1661"/>
          </w:tcPr>
          <w:p>
            <w:pPr>
              <w:pStyle w:val="null3"/>
            </w:pPr>
            <w:r>
              <w:rPr>
                <w:rFonts w:ascii="仿宋_GB2312" w:hAnsi="仿宋_GB2312" w:cs="仿宋_GB2312" w:eastAsia="仿宋_GB2312"/>
              </w:rPr>
              <w:t>政府采购二十二条</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法定代表人身份证明书/法定代表人授权书</w:t>
            </w:r>
          </w:p>
        </w:tc>
        <w:tc>
          <w:tcPr>
            <w:tcW w:type="dxa" w:w="3322"/>
          </w:tcPr>
          <w:p>
            <w:pPr>
              <w:pStyle w:val="null3"/>
            </w:pPr>
            <w:r>
              <w:rPr>
                <w:rFonts w:ascii="仿宋_GB2312" w:hAnsi="仿宋_GB2312" w:cs="仿宋_GB2312" w:eastAsia="仿宋_GB2312"/>
              </w:rPr>
              <w:t>法定代表人参与投标时需提供法定代表人身份证明书；被授权人参与投标时需提供法定代表人身份证明书及法定代表人授权委托书；</w:t>
            </w:r>
          </w:p>
        </w:tc>
        <w:tc>
          <w:tcPr>
            <w:tcW w:type="dxa" w:w="1661"/>
          </w:tcPr>
          <w:p>
            <w:pPr>
              <w:pStyle w:val="null3"/>
            </w:pPr>
            <w:r>
              <w:rPr>
                <w:rFonts w:ascii="仿宋_GB2312" w:hAnsi="仿宋_GB2312" w:cs="仿宋_GB2312" w:eastAsia="仿宋_GB2312"/>
              </w:rPr>
              <w:t>特定资格要求</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投标保证金交纳凭证</w:t>
            </w:r>
          </w:p>
        </w:tc>
        <w:tc>
          <w:tcPr>
            <w:tcW w:type="dxa" w:w="3322"/>
          </w:tcPr>
          <w:p>
            <w:pPr>
              <w:pStyle w:val="null3"/>
            </w:pPr>
            <w:r>
              <w:rPr>
                <w:rFonts w:ascii="仿宋_GB2312" w:hAnsi="仿宋_GB2312" w:cs="仿宋_GB2312" w:eastAsia="仿宋_GB2312"/>
              </w:rPr>
              <w:t>投标保证金交纳凭证；</w:t>
            </w:r>
          </w:p>
        </w:tc>
        <w:tc>
          <w:tcPr>
            <w:tcW w:type="dxa" w:w="1661"/>
          </w:tcPr>
          <w:p>
            <w:pPr>
              <w:pStyle w:val="null3"/>
            </w:pPr>
            <w:r>
              <w:rPr>
                <w:rFonts w:ascii="仿宋_GB2312" w:hAnsi="仿宋_GB2312" w:cs="仿宋_GB2312" w:eastAsia="仿宋_GB2312"/>
              </w:rPr>
              <w:t>特定资格要求</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投标人不得为“信用中国”网站（www.creditchina.gov.cn）中列入失信被执行人和重大税收违法失信主体的投标人，不得为中国政府采购网（www.ccgp.gov.cn）中列入政府采购严重违法失信行为记录名单的投标人。</w:t>
            </w:r>
          </w:p>
        </w:tc>
        <w:tc>
          <w:tcPr>
            <w:tcW w:type="dxa" w:w="1661"/>
          </w:tcPr>
          <w:p>
            <w:pPr>
              <w:pStyle w:val="null3"/>
            </w:pPr>
            <w:r>
              <w:rPr>
                <w:rFonts w:ascii="仿宋_GB2312" w:hAnsi="仿宋_GB2312" w:cs="仿宋_GB2312" w:eastAsia="仿宋_GB2312"/>
              </w:rPr>
              <w:t>特定资格要求</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参与的供应商（联合体）服务全部由符合政策要求的中小企业承接；本项目所属行业：其他未列明行业。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按招标文件要求进行签章</w:t>
            </w:r>
          </w:p>
        </w:tc>
        <w:tc>
          <w:tcPr>
            <w:tcW w:type="dxa" w:w="1661"/>
          </w:tcPr>
          <w:p>
            <w:pPr>
              <w:pStyle w:val="null3"/>
            </w:pPr>
            <w:r>
              <w:rPr>
                <w:rFonts w:ascii="仿宋_GB2312" w:hAnsi="仿宋_GB2312" w:cs="仿宋_GB2312" w:eastAsia="仿宋_GB2312"/>
              </w:rPr>
              <w:t>开标一览表 服务内容及服务邀请应答表 中小企业声明函 商务应答表 特定资格要求 政府采购供应商拒绝政府采购领域商业贿赂承诺书 投标函 残疾人福利性单位声明函 政府采购二十二条 服务方案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投标报价没有超出最高限价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满足招标文件规定</w:t>
            </w:r>
          </w:p>
        </w:tc>
        <w:tc>
          <w:tcPr>
            <w:tcW w:type="dxa" w:w="1661"/>
          </w:tcPr>
          <w:p>
            <w:pPr>
              <w:pStyle w:val="null3"/>
            </w:pPr>
            <w:r>
              <w:rPr>
                <w:rFonts w:ascii="仿宋_GB2312" w:hAnsi="仿宋_GB2312" w:cs="仿宋_GB2312" w:eastAsia="仿宋_GB2312"/>
              </w:rPr>
              <w:t>商务应答表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对采购内容的响应程度</w:t>
            </w:r>
          </w:p>
        </w:tc>
        <w:tc>
          <w:tcPr>
            <w:tcW w:type="dxa" w:w="3322"/>
          </w:tcPr>
          <w:p>
            <w:pPr>
              <w:pStyle w:val="null3"/>
            </w:pPr>
            <w:r>
              <w:rPr>
                <w:rFonts w:ascii="仿宋_GB2312" w:hAnsi="仿宋_GB2312" w:cs="仿宋_GB2312" w:eastAsia="仿宋_GB2312"/>
              </w:rPr>
              <w:t>满足招标文件规定</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无其他做无效投标处理的情况</w:t>
            </w:r>
          </w:p>
        </w:tc>
        <w:tc>
          <w:tcPr>
            <w:tcW w:type="dxa" w:w="1661"/>
          </w:tcPr>
          <w:p>
            <w:pPr>
              <w:pStyle w:val="null3"/>
            </w:pPr>
            <w:r>
              <w:rPr>
                <w:rFonts w:ascii="仿宋_GB2312" w:hAnsi="仿宋_GB2312" w:cs="仿宋_GB2312" w:eastAsia="仿宋_GB2312"/>
              </w:rPr>
              <w:t>开标一览表 服务内容及服务邀请应答表 中小企业声明函 商务应答表 特定资格要求 政府采购供应商拒绝政府采购领域商业贿赂承诺书 投标函 残疾人福利性单位声明函 政府采购二十二条 服务方案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（一）评审内容： （1）项目需求理解； （2）服务流程及方法； （3）进度计划安排及保障措施； （4）整体管理措施。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（1）环境因子溯源监测服务； （2）红外热成像飞行溯源服务； （3）走航监测车监测技术服务； （4）道路积尘负荷走航监测技术服务； （5）颗粒物激光雷达溯源服务； （6）无人机巡查服务； （7）飞行走航服务； （8）露天焚烧卫星遥感监测服务。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其他服务措施</w:t>
            </w:r>
          </w:p>
        </w:tc>
        <w:tc>
          <w:tcPr>
            <w:tcW w:type="dxa" w:w="2492"/>
          </w:tcPr>
          <w:p>
            <w:pPr>
              <w:pStyle w:val="null3"/>
            </w:pPr>
            <w:r>
              <w:rPr>
                <w:rFonts w:ascii="仿宋_GB2312" w:hAnsi="仿宋_GB2312" w:cs="仿宋_GB2312" w:eastAsia="仿宋_GB2312"/>
              </w:rPr>
              <w:t>（一）评审内容： （1）为强化重污染天气应急管控，制定协同控制综合解决方案，全面提升大气污染治理效果的保障措施； （2）对采购人提供设施设备的使用及维护措施； （3）对紧急或突发业务的应急保障措施； （4）综合协助措施。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拟投入设备</w:t>
            </w:r>
          </w:p>
        </w:tc>
        <w:tc>
          <w:tcPr>
            <w:tcW w:type="dxa" w:w="2492"/>
          </w:tcPr>
          <w:p>
            <w:pPr>
              <w:pStyle w:val="null3"/>
            </w:pPr>
            <w:r>
              <w:rPr>
                <w:rFonts w:ascii="仿宋_GB2312" w:hAnsi="仿宋_GB2312" w:cs="仿宋_GB2312" w:eastAsia="仿宋_GB2312"/>
              </w:rPr>
              <w:t>（1）依据服务内容提出的要求配置监测设备；提供证明材料（需提供以下材料至少一项，亦可提交其他相关证明材料，例如：设备实物图、发票、合同等），每项设备得1分；最多得7分。未提供证明材料得0分。 （2）监测设备重点参数需提供证明材料（需提供以下材料至少一项，亦可提交其他相关证明材料，例如：检测报告、设备配置图、官网或功能截图、彩页、说明书等）；每项得0.5分，最多得4分。未提供证明材料得0分。 （3）配备与本服务有关的其他辅助设备；提供证明材料（需提供以下材料至少一项，亦可提交其他相关证明材料，例如：设备实物图、发票、合同等），每配备一项设备（不同类型）得1分，最多得3分。未提供证明材料得0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针对本项目提出合理化建议，每提出一项有利于本项目实施的合理化建议得1分，本项最高4分。未提供得0分。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人员配备情况</w:t>
            </w:r>
          </w:p>
        </w:tc>
        <w:tc>
          <w:tcPr>
            <w:tcW w:type="dxa" w:w="2492"/>
          </w:tcPr>
          <w:p>
            <w:pPr>
              <w:pStyle w:val="null3"/>
            </w:pPr>
            <w:r>
              <w:rPr>
                <w:rFonts w:ascii="仿宋_GB2312" w:hAnsi="仿宋_GB2312" w:cs="仿宋_GB2312" w:eastAsia="仿宋_GB2312"/>
              </w:rPr>
              <w:t>（1）依据驻场服务团队人员配置要求，提供人员相关证件、其他证明材料等，每人得1分，最多得6分；未提供证明材料得0分。 （2）依据本服务要求，每增加一名技术或服务人员（需提供证明材料）得1分，最多得4分；未提供证明材料得0分。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供应商近三年（2023年3月至今）具有类似项目业绩，每个计1分，最多计4分。未提供证明材料得0分。(业绩时间以合同签订日期为准，供应商须提供合同扫描件)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评标基准价的确定：经评标委员会对各投标人符合性审查合格后，最低投标价为评标基准价，得20分。 根据下列公式计算出各投标人的报价得分： 投标报价得分=（评标基准价/有效投标报价）×20%×100。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详见附件：政府采购二十二条</w:t>
      </w:r>
    </w:p>
    <w:p>
      <w:pPr>
        <w:pStyle w:val="null3"/>
        <w:ind w:firstLine="960"/>
      </w:pPr>
      <w:r>
        <w:rPr>
          <w:rFonts w:ascii="仿宋_GB2312" w:hAnsi="仿宋_GB2312" w:cs="仿宋_GB2312" w:eastAsia="仿宋_GB2312"/>
        </w:rPr>
        <w:t>详见附件：特定资格要求</w:t>
      </w:r>
    </w:p>
    <w:p>
      <w:pPr>
        <w:pStyle w:val="null3"/>
        <w:ind w:firstLine="960"/>
      </w:pPr>
      <w:r>
        <w:rPr>
          <w:rFonts w:ascii="仿宋_GB2312" w:hAnsi="仿宋_GB2312" w:cs="仿宋_GB2312" w:eastAsia="仿宋_GB2312"/>
        </w:rPr>
        <w:t>详见附件：政府采购供应商拒绝政府采购领域商业贿赂承诺书</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详见附件：7.合同文本.docx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