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磋商文件商务要求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  <w:t>期限</w:t>
            </w:r>
          </w:p>
        </w:tc>
        <w:tc>
          <w:tcPr>
            <w:tcW w:w="3900" w:type="dxa"/>
            <w:noWrap w:val="0"/>
            <w:vAlign w:val="center"/>
          </w:tcPr>
          <w:p w14:paraId="36DABD44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自合同签订之日起一年。按年签订合同，甲方在预算保障的前提下，在费用不变，合同内容不变，且符合合同服务内容和要求的情况下可续签1年。每年合同期满前30天，甲方对乙方在合同期内进行考核，考核合格后，可与乙方续签合同。若一年合同期满但甲方未获得预算或需求取消或乙方考核不合格，则甲方在合同期满前30天提前书面通知乙方后，合同到期终止，不再续签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5ED65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AF652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21DC95B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质量标准</w:t>
            </w:r>
          </w:p>
        </w:tc>
        <w:tc>
          <w:tcPr>
            <w:tcW w:w="3900" w:type="dxa"/>
            <w:noWrap w:val="0"/>
            <w:vAlign w:val="center"/>
          </w:tcPr>
          <w:p w14:paraId="72D4DA09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50460EB3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B5DB72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noWrap w:val="0"/>
            <w:vAlign w:val="center"/>
          </w:tcPr>
          <w:p w14:paraId="7D9C5C2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质保期</w:t>
            </w:r>
          </w:p>
        </w:tc>
        <w:tc>
          <w:tcPr>
            <w:tcW w:w="3900" w:type="dxa"/>
            <w:noWrap w:val="0"/>
            <w:vAlign w:val="center"/>
          </w:tcPr>
          <w:p w14:paraId="66DEF4A0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eastAsia="zh-CN"/>
              </w:rPr>
              <w:t>更换的配品配件耗材等自验收合格后一年。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70789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809BF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noWrap w:val="0"/>
            <w:vAlign w:val="center"/>
          </w:tcPr>
          <w:p w14:paraId="54CA6B19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72A4618A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分项1、分项2分开结算，合同签订6个月后，达到付款条件起30日内，支付合同总金额的40.00%。</w:t>
            </w:r>
          </w:p>
          <w:p w14:paraId="7907A3D5">
            <w:pPr>
              <w:keepNext/>
              <w:keepLines w:val="0"/>
              <w:pageBreakBefore w:val="0"/>
              <w:widowControl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分项1、分项2分开结算，供应商完成全部服务合同到期后，达到付款条件起30日内，按实结算，支付合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highlight w:val="none"/>
                <w:lang w:eastAsia="zh-CN"/>
              </w:rPr>
              <w:t>同总金额的60.00%。</w:t>
            </w:r>
          </w:p>
        </w:tc>
        <w:tc>
          <w:tcPr>
            <w:tcW w:w="2293" w:type="dxa"/>
            <w:noWrap w:val="0"/>
            <w:vAlign w:val="center"/>
          </w:tcPr>
          <w:p w14:paraId="6C803D4A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54059B0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2DD01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74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28CFE6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noWrap w:val="0"/>
            <w:vAlign w:val="center"/>
          </w:tcPr>
          <w:p w14:paraId="05CF274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noWrap w:val="0"/>
            <w:vAlign w:val="center"/>
          </w:tcPr>
          <w:p w14:paraId="1752A1F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18EE167D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092790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67379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0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3F0E78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632" w:type="dxa"/>
            <w:noWrap w:val="0"/>
            <w:vAlign w:val="center"/>
          </w:tcPr>
          <w:p w14:paraId="654F8EC5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noWrap w:val="0"/>
            <w:vAlign w:val="center"/>
          </w:tcPr>
          <w:p w14:paraId="6C39DF22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6FAC072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4CBBA3FE">
            <w:pPr>
              <w:keepLines w:val="0"/>
              <w:pageBreakBefore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70774383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71E02BE2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ind w:firstLine="2660" w:firstLineChars="950"/>
        <w:jc w:val="both"/>
        <w:textAlignment w:val="auto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keepLines w:val="0"/>
        <w:pageBreakBefore w:val="0"/>
        <w:kinsoku/>
        <w:wordWrap/>
        <w:overflowPunct/>
        <w:autoSpaceDE/>
        <w:autoSpaceDN/>
        <w:bidi w:val="0"/>
        <w:spacing w:line="440" w:lineRule="exact"/>
        <w:jc w:val="center"/>
        <w:textAlignment w:val="auto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4313B8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2F4E9F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2DD17FC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0A53CB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4479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AE40D9"/>
    <w:rsid w:val="74E7124C"/>
    <w:rsid w:val="75B15509"/>
    <w:rsid w:val="76E75AF2"/>
    <w:rsid w:val="776B1CF7"/>
    <w:rsid w:val="77C02FBA"/>
    <w:rsid w:val="7A394F4C"/>
    <w:rsid w:val="7A711F50"/>
    <w:rsid w:val="7AA821CC"/>
    <w:rsid w:val="7B035A0E"/>
    <w:rsid w:val="7C1F3913"/>
    <w:rsid w:val="7C585D6E"/>
    <w:rsid w:val="7D9D1761"/>
    <w:rsid w:val="7E2C4A13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337</Characters>
  <Lines>0</Lines>
  <Paragraphs>0</Paragraphs>
  <TotalTime>0</TotalTime>
  <ScaleCrop>false</ScaleCrop>
  <LinksUpToDate>false</LinksUpToDate>
  <CharactersWithSpaces>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2026-03-25T03:18:04Z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eyJoZGlkIjoiMjE0NDAzOWQ0YWJiNGQ5NTdlMmUzZWI1ZGRkOTVkMDEiLCJ1c2VySWQiOiI1MjE2NTc3MzAifQ==</vt:lpwstr>
  </property>
</Properties>
</file>