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版本号：HXCT-WN-【2026】-0520260327001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北洛河下游及渭河城区段应急监测预警能力建设项目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HXCT-WN-【2026】-05</w:t>
      </w:r>
      <w:r>
        <w:br/>
      </w:r>
      <w:r>
        <w:br/>
      </w:r>
      <w:r>
        <w:br/>
      </w:r>
    </w:p>
    <w:p>
      <w:pPr>
        <w:pStyle w:val="null3"/>
        <w:jc w:val="center"/>
        <w:outlineLvl w:val="2"/>
      </w:pPr>
      <w:r>
        <w:rPr>
          <w:rFonts w:ascii="仿宋_GB2312" w:hAnsi="仿宋_GB2312" w:cs="仿宋_GB2312" w:eastAsia="仿宋_GB2312"/>
          <w:sz w:val="28"/>
          <w:b/>
        </w:rPr>
        <w:t>渭南市防汛抗旱保障中心</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渭南市防汛抗旱保障中心</w:t>
      </w:r>
      <w:r>
        <w:rPr>
          <w:rFonts w:ascii="仿宋_GB2312" w:hAnsi="仿宋_GB2312" w:cs="仿宋_GB2312" w:eastAsia="仿宋_GB2312"/>
        </w:rPr>
        <w:t>委托，拟对</w:t>
      </w:r>
      <w:r>
        <w:rPr>
          <w:rFonts w:ascii="仿宋_GB2312" w:hAnsi="仿宋_GB2312" w:cs="仿宋_GB2312" w:eastAsia="仿宋_GB2312"/>
        </w:rPr>
        <w:t>北洛河下游及渭河城区段应急监测预警能力建设项目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HXCT-WN-【2026】-05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北洛河下游及渭河城区段应急监测预警能力建设项目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北洛河大荔段河道洪水、堤防工程、沿河村落及重要设施进行监测，实现对渭河主城区段重点险工、滩区及河道附近人员居住密集区域监测和预警提醒，实现灾害早期预警与精准撤离，提升风险发现的主动性和效率，确保人民群众生命财产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要求：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w:t>
      </w:r>
    </w:p>
    <w:p>
      <w:pPr>
        <w:pStyle w:val="null3"/>
      </w:pPr>
      <w:r>
        <w:rPr>
          <w:rFonts w:ascii="仿宋_GB2312" w:hAnsi="仿宋_GB2312" w:cs="仿宋_GB2312" w:eastAsia="仿宋_GB2312"/>
        </w:rPr>
        <w:t>2、具有独立承担民事责任的能力：供应商须为具有独立承担民事责任能力的法人或其他组织，出具合法有效的营业执照或事业单位法人证书等国家规定的相关证明；</w:t>
      </w:r>
    </w:p>
    <w:p>
      <w:pPr>
        <w:pStyle w:val="null3"/>
      </w:pPr>
      <w:r>
        <w:rPr>
          <w:rFonts w:ascii="仿宋_GB2312" w:hAnsi="仿宋_GB2312" w:cs="仿宋_GB2312" w:eastAsia="仿宋_GB2312"/>
        </w:rPr>
        <w:t>3、税收缴纳证明：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w:t>
      </w:r>
    </w:p>
    <w:p>
      <w:pPr>
        <w:pStyle w:val="null3"/>
      </w:pPr>
      <w:r>
        <w:rPr>
          <w:rFonts w:ascii="仿宋_GB2312" w:hAnsi="仿宋_GB2312" w:cs="仿宋_GB2312" w:eastAsia="仿宋_GB2312"/>
        </w:rPr>
        <w:t>4、社会保障资金缴纳证明：提供递交响应文件截止时间前一年内至少一个月已缴纳的社会保障资金的凭据（社会保障资金缴存证明资料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6、具有履行合同所必需的设备和专业技术能力：供应商须具有履行合同所必需的设备和专业技术能力,根据自身情况提供承诺书；</w:t>
      </w:r>
    </w:p>
    <w:p>
      <w:pPr>
        <w:pStyle w:val="null3"/>
      </w:pPr>
      <w:r>
        <w:rPr>
          <w:rFonts w:ascii="仿宋_GB2312" w:hAnsi="仿宋_GB2312" w:cs="仿宋_GB2312" w:eastAsia="仿宋_GB2312"/>
        </w:rPr>
        <w:t>7、法定代表人身份证明或法定代表人授权书：供应商应提供法定代表人身份证明书或授权委托书。法定代表人直接参加的，须出具法定代表人身份证明书，并与营业执照上信息一致；</w:t>
      </w:r>
    </w:p>
    <w:p>
      <w:pPr>
        <w:pStyle w:val="null3"/>
      </w:pPr>
      <w:r>
        <w:rPr>
          <w:rFonts w:ascii="仿宋_GB2312" w:hAnsi="仿宋_GB2312" w:cs="仿宋_GB2312" w:eastAsia="仿宋_GB2312"/>
        </w:rPr>
        <w:t>8、信誉记录：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p>
      <w:pPr>
        <w:pStyle w:val="null3"/>
      </w:pPr>
      <w:r>
        <w:rPr>
          <w:rFonts w:ascii="仿宋_GB2312" w:hAnsi="仿宋_GB2312" w:cs="仿宋_GB2312" w:eastAsia="仿宋_GB2312"/>
        </w:rPr>
        <w:t>9、企业关联关系：单位负责人为同一人或者存在直接控股、管理关系的不同供应商，不得参加同一合同项下的磋商活动；</w:t>
      </w:r>
    </w:p>
    <w:p>
      <w:pPr>
        <w:pStyle w:val="null3"/>
      </w:pPr>
      <w:r>
        <w:rPr>
          <w:rFonts w:ascii="仿宋_GB2312" w:hAnsi="仿宋_GB2312" w:cs="仿宋_GB2312" w:eastAsia="仿宋_GB2312"/>
        </w:rPr>
        <w:t>10、非联合体投标：本项目不接受联合体磋商。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渭南市防汛抗旱保障中心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渭南市行政服务中心东配楼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吉重阳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渭南市临渭区杜桥街道办东风街中段景和福康大楼1单元1001室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开户名称：华夏城投项目管理有限公司渭南分公司</w:t>
            </w:r>
          </w:p>
          <w:p>
            <w:pPr>
              <w:pStyle w:val="null3"/>
            </w:pPr>
            <w:r>
              <w:rPr>
                <w:rFonts w:ascii="仿宋_GB2312" w:hAnsi="仿宋_GB2312" w:cs="仿宋_GB2312" w:eastAsia="仿宋_GB2312"/>
              </w:rPr>
              <w:t>开户银行：中国银行渭南仓程路支行</w:t>
            </w:r>
          </w:p>
          <w:p>
            <w:pPr>
              <w:pStyle w:val="null3"/>
            </w:pPr>
            <w:r>
              <w:rPr>
                <w:rFonts w:ascii="仿宋_GB2312" w:hAnsi="仿宋_GB2312" w:cs="仿宋_GB2312" w:eastAsia="仿宋_GB2312"/>
              </w:rPr>
              <w:t>银行账号：103260621838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汇款账号：1、账户名称：华夏城投项目管理有限公司渭南分公司 2、开 户 行：中国银行渭南仓程路支行 3、账 号：103260621838 财务联系方式：15291432591 备注：供应商在汇款（招标代理服务费）时须注明项目编号+项目简称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渭南市防汛抗旱保障中心</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渭南市防汛抗旱保障中心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渭南市防汛抗旱保障中心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地址：渭南市临渭区杜桥街道办东风街中段景和福康大楼1单元1001室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北洛河大荔段河道洪水、堤防工程、沿河村落及重要设施进行监测，实现对渭河主城区段重点险工、滩区及河道附近人员居住密集区域监测和预警提醒，实现灾害早期预警与精准撤离，提升风险发现的主动性和效率，确保人民群众生命财产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北洛河下游及渭河城区段应急监测预警能力建设项目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标的名称：北洛河下游及渭河城区段应急监测预警能力建设项目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5"/>
              </w:rPr>
              <w:t>1、项目概况：针对北洛河大荔段重点水域潜在洪水灾害、地质灾害等汛期风险，依托现有社会存量高点资源，新建4处高点位视频监控，补充完善北洛河防洪预警监控体系。针对渭河城区段应急防汛监管手段落后问题，建设2处固定式无人机巢，实现渭河城区段重点区域精细化动态巡查，提升汛期应急监测预警能力。</w:t>
            </w:r>
          </w:p>
          <w:p>
            <w:pPr>
              <w:pStyle w:val="null3"/>
            </w:pPr>
            <w:r>
              <w:rPr>
                <w:rFonts w:ascii="仿宋_GB2312" w:hAnsi="仿宋_GB2312" w:cs="仿宋_GB2312" w:eastAsia="仿宋_GB2312"/>
                <w:sz w:val="15"/>
              </w:rPr>
              <w:t>2、服务内容：</w:t>
            </w:r>
          </w:p>
          <w:p>
            <w:pPr>
              <w:pStyle w:val="null3"/>
            </w:pPr>
            <w:r>
              <w:rPr>
                <w:rFonts w:ascii="仿宋_GB2312" w:hAnsi="仿宋_GB2312" w:cs="仿宋_GB2312" w:eastAsia="仿宋_GB2312"/>
                <w:sz w:val="15"/>
              </w:rPr>
              <w:t>2.1主要服务项目</w:t>
            </w:r>
          </w:p>
          <w:p>
            <w:pPr>
              <w:pStyle w:val="null3"/>
            </w:pPr>
            <w:r>
              <w:rPr>
                <w:rFonts w:ascii="仿宋_GB2312" w:hAnsi="仿宋_GB2312" w:cs="仿宋_GB2312" w:eastAsia="仿宋_GB2312"/>
                <w:sz w:val="15"/>
              </w:rPr>
              <w:t>（1）智能监控</w:t>
            </w:r>
          </w:p>
          <w:p>
            <w:pPr>
              <w:pStyle w:val="null3"/>
            </w:pPr>
            <w:r>
              <w:rPr>
                <w:rFonts w:ascii="仿宋_GB2312" w:hAnsi="仿宋_GB2312" w:cs="仿宋_GB2312" w:eastAsia="仿宋_GB2312"/>
                <w:sz w:val="15"/>
              </w:rPr>
              <w:t>视频监控设备挂高30米以上，距离河道1公里以内，视野空旷的区域，对半径2㎞内的桥梁、村庄、水源地、电站、火车道等重点场景进行实时监控。</w:t>
            </w:r>
          </w:p>
          <w:p>
            <w:pPr>
              <w:pStyle w:val="null3"/>
            </w:pPr>
            <w:r>
              <w:rPr>
                <w:rFonts w:ascii="仿宋_GB2312" w:hAnsi="仿宋_GB2312" w:cs="仿宋_GB2312" w:eastAsia="仿宋_GB2312"/>
                <w:sz w:val="15"/>
              </w:rPr>
              <w:t>（2）无人机智能站</w:t>
            </w:r>
          </w:p>
          <w:p>
            <w:pPr>
              <w:pStyle w:val="null3"/>
            </w:pPr>
            <w:r>
              <w:rPr>
                <w:rFonts w:ascii="仿宋_GB2312" w:hAnsi="仿宋_GB2312" w:cs="仿宋_GB2312" w:eastAsia="仿宋_GB2312"/>
                <w:sz w:val="15"/>
              </w:rPr>
              <w:t>无人机智能基站须具备自动起降、自主巡航、夜间照明与信号警示、喊话、实时回传图像、监测数据、自主充/换电、精准降落等功能。可对智能站半径3㎞内的河道、堤坝、桥梁、道路、村庄等重点场景进行巡查监控。</w:t>
            </w:r>
          </w:p>
          <w:p>
            <w:pPr>
              <w:pStyle w:val="null3"/>
            </w:pPr>
            <w:r>
              <w:rPr>
                <w:rFonts w:ascii="仿宋_GB2312" w:hAnsi="仿宋_GB2312" w:cs="仿宋_GB2312" w:eastAsia="仿宋_GB2312"/>
                <w:sz w:val="15"/>
              </w:rPr>
              <w:t>2.2配套服务</w:t>
            </w:r>
          </w:p>
          <w:p>
            <w:pPr>
              <w:pStyle w:val="null3"/>
            </w:pPr>
            <w:r>
              <w:rPr>
                <w:rFonts w:ascii="仿宋_GB2312" w:hAnsi="仿宋_GB2312" w:cs="仿宋_GB2312" w:eastAsia="仿宋_GB2312"/>
                <w:sz w:val="15"/>
              </w:rPr>
              <w:t>配套服务主要包括：网络传输系统、网络电力保障、系统融合、系统运维。</w:t>
            </w:r>
          </w:p>
          <w:p>
            <w:pPr>
              <w:pStyle w:val="null3"/>
            </w:pPr>
            <w:r>
              <w:rPr>
                <w:rFonts w:ascii="仿宋_GB2312" w:hAnsi="仿宋_GB2312" w:cs="仿宋_GB2312" w:eastAsia="仿宋_GB2312"/>
                <w:sz w:val="15"/>
              </w:rPr>
              <w:t>（1）网络传输系统：选择有线接入方式，4条智能监控、2条无人机智能站端到端的网络带宽≥50M，无人机飞行过程中采用4G/5G网络通讯回传图像数据，信号薄弱地区采用卫星通讯技术，保障数据传输不中断。</w:t>
            </w:r>
          </w:p>
          <w:p>
            <w:pPr>
              <w:pStyle w:val="null3"/>
            </w:pPr>
            <w:r>
              <w:rPr>
                <w:rFonts w:ascii="仿宋_GB2312" w:hAnsi="仿宋_GB2312" w:cs="仿宋_GB2312" w:eastAsia="仿宋_GB2312"/>
                <w:sz w:val="15"/>
              </w:rPr>
              <w:t>（2）网络电力保障：监控点位供电系统采用市电引入加UPS方式建设，同时配备发电队伍，以应对突发情况。</w:t>
            </w:r>
          </w:p>
          <w:p>
            <w:pPr>
              <w:pStyle w:val="null3"/>
            </w:pPr>
            <w:r>
              <w:rPr>
                <w:rFonts w:ascii="仿宋_GB2312" w:hAnsi="仿宋_GB2312" w:cs="仿宋_GB2312" w:eastAsia="仿宋_GB2312"/>
                <w:sz w:val="15"/>
              </w:rPr>
              <w:t>（3）系统融合：视频监控要能与已建视频监控平台或点位整合，并根据工作需要可向省、市、县应急和其他部门共享使用平台及具体点位，并为与已有的监测预警、指挥调度等平台深度融合提供接口和服务保障能力。</w:t>
            </w:r>
          </w:p>
          <w:p>
            <w:pPr>
              <w:pStyle w:val="null3"/>
            </w:pPr>
            <w:r>
              <w:rPr>
                <w:rFonts w:ascii="仿宋_GB2312" w:hAnsi="仿宋_GB2312" w:cs="仿宋_GB2312" w:eastAsia="仿宋_GB2312"/>
                <w:sz w:val="15"/>
              </w:rPr>
              <w:t>（4）系统运维：具体包含以下内容：</w:t>
            </w:r>
          </w:p>
          <w:p>
            <w:pPr>
              <w:pStyle w:val="null3"/>
            </w:pPr>
            <w:r>
              <w:rPr>
                <w:rFonts w:ascii="仿宋_GB2312" w:hAnsi="仿宋_GB2312" w:cs="仿宋_GB2312" w:eastAsia="仿宋_GB2312"/>
                <w:sz w:val="15"/>
              </w:rPr>
              <w:t>1）平台与软件运维</w:t>
            </w:r>
          </w:p>
          <w:p>
            <w:pPr>
              <w:pStyle w:val="null3"/>
            </w:pPr>
            <w:r>
              <w:rPr>
                <w:rFonts w:ascii="仿宋_GB2312" w:hAnsi="仿宋_GB2312" w:cs="仿宋_GB2312" w:eastAsia="仿宋_GB2312"/>
                <w:sz w:val="15"/>
              </w:rPr>
              <w:t>每日通过运维平台检查系统运行情况；定期查看系统日志、应用日志，排查错误告警和潜在风险；对重要的平台配置信息、用户数据、权限策略进行定期备份；在充分测试后，对平台软件、病毒库等进行安全更新和补丁安装。</w:t>
            </w:r>
          </w:p>
          <w:p>
            <w:pPr>
              <w:pStyle w:val="null3"/>
            </w:pPr>
            <w:r>
              <w:rPr>
                <w:rFonts w:ascii="仿宋_GB2312" w:hAnsi="仿宋_GB2312" w:cs="仿宋_GB2312" w:eastAsia="仿宋_GB2312"/>
                <w:sz w:val="15"/>
              </w:rPr>
              <w:t>2）设备运维</w:t>
            </w:r>
          </w:p>
          <w:p>
            <w:pPr>
              <w:pStyle w:val="null3"/>
            </w:pPr>
            <w:r>
              <w:rPr>
                <w:rFonts w:ascii="仿宋_GB2312" w:hAnsi="仿宋_GB2312" w:cs="仿宋_GB2312" w:eastAsia="仿宋_GB2312"/>
                <w:sz w:val="15"/>
              </w:rPr>
              <w:t>每日自动或人工远程巡检所有设备的在线情况，并记录离线设备；每周/每月通过AI诊断功能或人工抽查，检测图像是否存在雪花、模糊、偏色、亮度异常、信号丢失、遮挡、抖动等问题；定期测试监控设备的转动、变焦、聚焦功能是否正常。</w:t>
            </w:r>
          </w:p>
          <w:p>
            <w:pPr>
              <w:pStyle w:val="null3"/>
            </w:pPr>
            <w:r>
              <w:rPr>
                <w:rFonts w:ascii="仿宋_GB2312" w:hAnsi="仿宋_GB2312" w:cs="仿宋_GB2312" w:eastAsia="仿宋_GB2312"/>
                <w:sz w:val="15"/>
              </w:rPr>
              <w:t>3）现场定期巡检</w:t>
            </w:r>
          </w:p>
          <w:p>
            <w:pPr>
              <w:pStyle w:val="null3"/>
            </w:pPr>
            <w:r>
              <w:rPr>
                <w:rFonts w:ascii="仿宋_GB2312" w:hAnsi="仿宋_GB2312" w:cs="仿宋_GB2312" w:eastAsia="仿宋_GB2312"/>
                <w:sz w:val="15"/>
              </w:rPr>
              <w:t>对设备物理状态、供电状况、网络状况、周边环境等内容进行现场定期巡检。</w:t>
            </w:r>
          </w:p>
          <w:p>
            <w:pPr>
              <w:pStyle w:val="null3"/>
            </w:pPr>
            <w:r>
              <w:rPr>
                <w:rFonts w:ascii="仿宋_GB2312" w:hAnsi="仿宋_GB2312" w:cs="仿宋_GB2312" w:eastAsia="仿宋_GB2312"/>
                <w:sz w:val="15"/>
              </w:rPr>
              <w:t>4）运维团队</w:t>
            </w:r>
          </w:p>
          <w:p>
            <w:pPr>
              <w:pStyle w:val="null3"/>
            </w:pPr>
            <w:r>
              <w:rPr>
                <w:rFonts w:ascii="仿宋_GB2312" w:hAnsi="仿宋_GB2312" w:cs="仿宋_GB2312" w:eastAsia="仿宋_GB2312"/>
                <w:sz w:val="15"/>
              </w:rPr>
              <w:t>设立专职运维团队，在汛期配合提供专业技术人员，实行7×24小时值班；建立常用备件库，确保故障时能快速更换；建立健全的运维手册、应急预案、标准作业程序；定期对运维人员进行新技术、新设备、安全操作的培训。发布渭河、洛河洪水预警时，要24小时团队运维，设备在线率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1、供应商应及时向采购人汇报项目实施情况。 2、人员配备合理。有针对本项目的专项服务小组，项目负责人、工作人员分工明确(应有具体成员名单，包括姓名、工作职责等)。 3、在服务期间，若供应商所拟派的工作人员发生任何伤害，采购人概不负责，由供应商自行处理。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自交付使用验收合格之日起提供两年服务。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临渭区、大荔县。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行业、地方现行执行规范、规程、标准。（2）本项目由采购人定期按磋商文件、响应文件、项目实施方案等内容进行阶段性验收，包括合同签订后进行交付使用验收，汛前汛中进行验收，服务期满后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交付使用后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服务期满一年后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1、其他商务要求： 故障响应：当出现以下情况，运维人员须在2小时内到达现场，12小时内现场修复。 1）系统瘫痪; 2）设备无法正常工作，丧失相应功能; 3）系统仍能运行，但运行不稳定、不及时，图像卡顿、不清晰，部分功能响应慢等。 4）其他影响监控服务的情形。 因特殊天气或其它不可抗拒的因素，修复时间可以相应顺延，但需及时通知采购人。2、根据《政府采购法实施条例》释义，银行、保险、石油石化、电力、电信等有行业特殊情况的，允许法人的分支机构参加政府采购活动。3、成交供应商领取成交通知书时，提交纸质磋商响应文件正本壹份、副本贰份、电子版叁份（U盘或光盘注明单位名称）编辑目录和页码，内容和通过电子化交易平台实施的政府采购项目提交的磋商响应文件一致。纸质磋商响应文件正副本分别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证明资料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政府采购供应商拒绝政府采购领域商业贿赂承诺书.docx 响应文件封面 残疾人福利性单位声明函 服务方案 标的清单 响应函 磋商保证金缴纳证明.docx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无其他做无效磋商处理的情况</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磋商保证金缴纳证明.docx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已缴纳磋商保证金</w:t>
            </w:r>
          </w:p>
        </w:tc>
        <w:tc>
          <w:tcPr>
            <w:tcW w:type="dxa" w:w="1661"/>
          </w:tcPr>
          <w:p>
            <w:pPr>
              <w:pStyle w:val="null3"/>
            </w:pPr>
            <w:r>
              <w:rPr>
                <w:rFonts w:ascii="仿宋_GB2312" w:hAnsi="仿宋_GB2312" w:cs="仿宋_GB2312" w:eastAsia="仿宋_GB2312"/>
              </w:rPr>
              <w:t>磋商保证金缴纳证明.docx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（1）项目需求理解； （2）项目整体管理方案； （3）进度计划及保障措施。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（1）监测平台搭建方案； （2）建设团队工作组织安排； （3）网络传输系统保障措施； （4）网络电力保障措施； （5）系统融合保障措施； （6）保密措施。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（1）平台与软件运维方案； （2）设备运维方案； （3）现场定期巡检方案； （4）运维团队工作组织安排； （5）运维人员培训计划。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（1）紧急或突发情况的应急保障方案； （2）应急人员安排计划； （3）应急设施设备安排计划。 （二）评审标准： （1）每项评审内容完整无缺陷得3分；未提供得0分；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经过有效性和符合性审核合格的供应商：商务要求每优于采购文件要求一项得1分，最高得3分。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供应商近三年（2023年3月至今）具有类似项目业绩，每个计1分，最多计5分。(业绩时间以合同签订日期为准，供应商须提供合同扫描件)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（1）运维团队需包括：平台运维人员、设备运维人员、应急供电人员、定期巡检人员，每人得0.5分，最多得6分。 （2）团队人员每具有一个中级职称得1分，高级职称得2分，最多得4分。 注：须提供证明材料，未提供得0分。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供应商配备：备用设备、应急供电设备、其他辅助设备，每配备一项设施设备得2分，最多得6分。（须提供证明材料，未提供得0分）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满足磋商文件要求且最后报价最低的供应商价格为磋商基准价得20分； 其他供应商的价格分按下列公式计算：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详见附件：磋商保证金缴纳证明.docx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