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版本号：ZCSP-渭南市-2026-00047-HMGJ00720260331001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2026年中央小麦一喷三防服务项目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ZCSP-渭南市-2026-00047-HMGJ007</w:t>
      </w:r>
      <w:r>
        <w:br/>
      </w:r>
      <w:r>
        <w:br/>
      </w:r>
      <w:r>
        <w:br/>
      </w:r>
    </w:p>
    <w:p>
      <w:pPr>
        <w:pStyle w:val="null3"/>
        <w:jc w:val="center"/>
        <w:outlineLvl w:val="2"/>
      </w:pPr>
      <w:r>
        <w:rPr>
          <w:rFonts w:ascii="仿宋_GB2312" w:hAnsi="仿宋_GB2312" w:cs="仿宋_GB2312" w:eastAsia="仿宋_GB2312"/>
          <w:sz w:val="28"/>
          <w:b/>
        </w:rPr>
        <w:t>渭南市农业技术推广中心</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渭南市农业技术推广中心</w:t>
      </w:r>
      <w:r>
        <w:rPr>
          <w:rFonts w:ascii="仿宋_GB2312" w:hAnsi="仿宋_GB2312" w:cs="仿宋_GB2312" w:eastAsia="仿宋_GB2312"/>
        </w:rPr>
        <w:t>委托，拟对</w:t>
      </w:r>
      <w:r>
        <w:rPr>
          <w:rFonts w:ascii="仿宋_GB2312" w:hAnsi="仿宋_GB2312" w:cs="仿宋_GB2312" w:eastAsia="仿宋_GB2312"/>
        </w:rPr>
        <w:t>2026年中央小麦一喷三防服务项目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ZCSP-渭南市-2026-00047-HMGJ007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2026年中央小麦一喷三防服务项目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小麦穗期一次性喷施杀虫剂、杀菌剂、植物生长调节剂等，达到防病虫害、防干热风、防倒伏、增加粒重的目的，提高病虫害防治率，促进小麦丰产丰收，稳定提高粮食产量。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采购包1（2026年中央小麦一喷三防服务项目）：属于专门面向中小企业采购。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供应商法定代表人参加磋商的，须提供本人身份证复印件；法定代表人授权他人参加磋商的，须提供法定代表人授权委托书、授权代表身份证、授权代表在本单位近3个月内任意一个月缴纳的养老保险证明。响应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2、营业执照：供应商提供有效存续的企业营业执照（含2024或2025年度报告）；</w:t>
      </w:r>
    </w:p>
    <w:p>
      <w:pPr>
        <w:pStyle w:val="null3"/>
      </w:pPr>
      <w:r>
        <w:rPr>
          <w:rFonts w:ascii="仿宋_GB2312" w:hAnsi="仿宋_GB2312" w:cs="仿宋_GB2312" w:eastAsia="仿宋_GB2312"/>
        </w:rPr>
        <w:t>3、财务状况报告：供应商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4、社保缴纳证明：供应商提供2025年7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供应商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7、控股管理关系：供应商提供直接控股和管理关系清单。若与其他供应商存在单位负责人为同一人或者存在直接控股、管理关系的，则磋商无效；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8、书面声明：供应商提供书面声明，包括声明具有履行合同所必需的设备和专业技术能力；未为本项目提供整体设计、规范编制或者项目管理、监理、检测等服务；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渭南市东风大街60号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渭南市农业技术推广中心经办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15009133865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依据“财库[2018]2号-财政部关于印发《政府采购代理机构管理暂行办法》的通知”第十五条规定，约定代理服务费由成交单位支付。成交单位在领取成交通知书前一次性付清。参照国家计委关于《招标代理服务收费管理暂行办法》（计价格〔2002〕1980号）、《国家发展改革委关于降低部分建设项目收费标准规范收费行为等有关问题的通知》（发改价格〔2011〕534号），以成交价为基数，按标准的100%收取。成交单位的代理服务费交纳信息：开户名称：鸿民国际工程（集团）有限公司渭南分公司 开户银行：中国建设银行股份有限公司渭南朝阳大街支行 账号：61050164500800000631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渭南市农业技术推广中心</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渭南市农业技术推广中心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满足《农业社会化服务农作物病虫害防治服务质量要求》（GB/T 32980-2016）、《农业社会化服务农作物病虫害防治服务质量评价》（GB/T 33311-2016）、《农作物病虫害防治条例》及本合同约定的所有技术和服务要求。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小麦穗期一次性喷施杀虫剂、杀菌剂、植物生长调节剂等，达到防病虫害、防干热风、防倒伏、增加粒重的目的，提高病虫害防治率，促进小麦丰产丰收，稳定提高粮食产量。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2026年中央小麦一喷三防服务项目</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标的名称：2026年中央小麦一喷三防服务项目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rPr>
              <w:t>服务内容：建立小麦应急防治示范区，有效防治小麦赤霉病、锈病、白粉病、蚜虫、红蜘蛛等主要病虫害，同时实现防干热风、防倒伏、增加粒重的目标。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2"/>
              <w:jc w:val="both"/>
            </w:pPr>
            <w:r>
              <w:rPr>
                <w:rFonts w:ascii="仿宋_GB2312" w:hAnsi="仿宋_GB2312" w:cs="仿宋_GB2312" w:eastAsia="仿宋_GB2312"/>
              </w:rPr>
              <w:t>服务面积：不小于5万亩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rPr>
              <w:t>药剂使用说明：所有药剂需符合国家标准，三证齐全（农药登记证、农药生产批准证、企业标准），高效低毒、安全环保，且登记防治对象均为小麦，严格按照农药登记证推荐最高剂量使用；叶面肥、植物调节剂及飞防助剂按以下要求执行：（1）杀菌剂：40%丙硫·戊唑醇，登记防治对象为小麦，按农药登记证推荐最高剂量使用；（2）杀虫剂：20%及以上联苯菊酯·噻虫嗪，登记防治对象为小麦，按农药登记证推荐最高剂量使用；（3）叶面肥：高纯度膨化磷酸二氢钾，每亩用量不低于100g；（4）植物调节剂：14羟基芸苔素内酯，每亩有效成份含量不低于10ml；（5）飞防助剂：天然油脂类飞防专用助剂，按照1:100比例添加（与总药剂用量配比）。</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2"/>
              <w:jc w:val="both"/>
            </w:pPr>
            <w:r>
              <w:rPr>
                <w:rFonts w:ascii="仿宋_GB2312" w:hAnsi="仿宋_GB2312" w:cs="仿宋_GB2312" w:eastAsia="仿宋_GB2312"/>
              </w:rPr>
              <w:t>服务要求：（1）采用以机械为主的植保器械开展作业，作业能力需满足5万亩及以上地块15日历天内完成的要求，器械管理相关制度健全、管理规范；（2）针对2026年小麦病虫特点及生长性状，病虫害防治效果达到90%以上，危害损失率控制在5%以内；（3）选择的药剂需符合国家标准，三证齐全，高效低毒、安全环保，且登记防治对象适配小麦；（4）严格在小麦穗期防治关键时期完成全部作业任务，确保总体防治效果达90%以上，危害损失率控制在5%以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562"/>
              <w:jc w:val="both"/>
            </w:pPr>
            <w:r>
              <w:rPr>
                <w:rFonts w:ascii="仿宋_GB2312" w:hAnsi="仿宋_GB2312" w:cs="仿宋_GB2312" w:eastAsia="仿宋_GB2312"/>
              </w:rPr>
              <w:t>服务质量、标准、期限、效率等要求：（1）农药选择:选择三证齐全(农药登记证、农药生产批准证、企业标准)，符合国家《农药安全使用标准》、《农药合理使用准则》和农药安全使用规范总则的农药产品。（2）成交后，供应商派驻一名项目负责人，一名技术负责人对作业过程中作业进度、服务质量、作业人员管理进行总协调，确保技术措施的落实，按时参加采购人组织的相关会议和活动，服从采购人的工作制度和工作规范。（3）成交后，供应商向采购人提供项目作业计划和安全责任协议等，其内容包括管理机构的设置、各主要岗位的技术和管理员名单、资质、联系方式及各工种技术工人的安排、项目实施进度安排、技术措施等状况。（4）严格按照本文件规定的服务要求、技术标准开展作业，作业前按要求筹备齐全防治器械、药剂、工具等物资，严格按照技术规范执行作业流程。（5）积极协助采购人及时组织召开检查验收、防治效果评价及防治竣工验收工作会议，配合完成验收相关工作。（6）服务完成后，供应商需向采购人提交施工作业过程性资料（含作业记录、药剂使用记录等）和防治效果报告，严格按照相关标准及采购人要求执行。（7）针对作业过程中可能出现的各类突发事件（如药剂泄漏、作业事故、防治效果不达标等），需制定完善的应急预案和应对措施，并向采购人作出明确、具体的书面承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62"/>
              <w:jc w:val="both"/>
            </w:pPr>
            <w:r>
              <w:rPr>
                <w:rFonts w:ascii="仿宋_GB2312" w:hAnsi="仿宋_GB2312" w:cs="仿宋_GB2312" w:eastAsia="仿宋_GB2312"/>
              </w:rPr>
              <w:t>验收标准：(1)防治服务需满足《农业社会化服务农作物病虫害防治服务质量要求》（GB/T 32980-2016）及本文件约定的其他相关标准、要求；(2)所用药剂需符合国家标准，三证齐全，高效低毒、安全环保，登记防治对象适配小麦，使用剂量符合农药登记证要求；(3)严格按照本文件要求组织防治作业，作业前按规定筹备齐全防治器械、药剂、工具等物资，作业过程符合技术规范；(4)验收流程：采购人根据磋商文件、响应文件及合同约定的标准、技术和服务要求，逐项进行验收；防治工作全部完成后，采购人组织相关部门开展现场验收，供应商需全程配合；(5)验收过程中，若发现存在未防、漏防地块，或防治效果未达到设计要求（防治率低于90%、危害损失率高于5%）的，供应商需立即组织人工地面补防，直至达到验收标准；若因未防、漏防或防治不达标造成损失的，供应商需承担相应的法律责任及经济赔偿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后，供应商派驻一名项目负责人，一名技术负责人对作业过程中作业进度、服务质量、作业人员管理进行总协调，确保技术措施的落实，按时参加采购人组织的相关会议和活动，服从采购人的工作制度和工作规范。</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1.防治服务需满足《农业社会化服务农作物病虫害防治服务质量要求》（GB/T 32980-2016）及本文件约定的其他相关标准、要求；2.所用药剂需符合国家标准，三证齐全，高效低毒、安全环保，登记防治对象适配小麦，使用剂量符合农药登记证要求；3.严格按照本文件要求组织防治作业，作业前按规定筹备齐全防治器械、药剂、工具等物资，作业过程符合技术规范；4.验收流程：采购人根据磋商文件、响应文件及合同约定的标准、技术和服务要求，逐项进行验收；防治工作全部完成后，采购人组织相关部门开展现场验收，供应商需全程配合；5.验收过程中，若发现存在未防、漏防地块，或防治效果未达到设计要求（防治率低于90%、危害损失率高于5%）的，供应商需立即组织人工地面补防，直至达到验收标准；若因未防、漏防或防治不达标造成损失的，供应商需承担相应的法律责任及经济赔偿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合同签订后支付预付款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最终防治成果经采购人验收合格，无争议问题。采购人可以向供应商增加服务内容，但费用不再增加</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1.1若防治效果经最终验收未达到90%（因不可抗力或采购人原因导致的除外），成交供应商应按采购人要求进行补防，补防后仍不合格的，采购人有权扣减合同总金额20%的款项作为违约金，并追偿实际损失。 1.2若成交供应商使用的药剂“三证”不全或不符合国家环保安全要求，采购人有权立即终止合同，并由成交供应商承担由此产生的一切法律后果和经济损失。 2.解决争议的方法： 2.1合同履行过程中发生争议，双方应首先通过友好协商解决。 2.2协商不成的，任何一方均有权向采购人所在地有管辖权的人民法院提起诉讼。 2.3在争议解决期间，除争议事项外，双方应继续履行合同其他无争议条款。 3.其它条款见采购合同。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完全理解并接受第八章“拟签订采购合同文本”。2.成交供应商在成交结果公告发布后3个工作日内提供三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参与的供应商提供了企业声明函原件，本项目采购标的对应的中小企业划分标准所属行业为农、林、牧、渔业。营业收入20000万元以下的为中小微型企业。其中，营业收入500万元及以上的为中型企业，营业收入50万元及以上的为小型企业，营业收入50万元以下的为微型企业。特别说明：从业人员、营业收入、资产总额填报上一年度数据，上一年度数据是指提供2024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供应商法定代表人参加磋商的，须提供本人身份证复印件；法定代表人授权他人参加磋商的，须提供法定代表人授权委托书、授权代表身份证、授权代表在本单位近3个月内任意一个月缴纳的养老保险证明。响应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供应商提供有效存续的企业营业执照（含2024或2025年度报告）；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供应商提供2025年7月1日至响应文件递交截止之日任意一个月的社会保障资金缴存单据或社保机构开具的社会保险参保缴费情况证明。依法不需要缴纳社会保障资金的供应商应提供相关证明文件；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首轮报价明细表.docx 标的清单 报价表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响应文件签字盖章满足磋商文件的要求</w:t>
            </w:r>
          </w:p>
        </w:tc>
        <w:tc>
          <w:tcPr>
            <w:tcW w:type="dxa" w:w="1661"/>
          </w:tcPr>
          <w:p>
            <w:pPr>
              <w:pStyle w:val="null3"/>
            </w:pPr>
            <w:r>
              <w:rPr>
                <w:rFonts w:ascii="仿宋_GB2312" w:hAnsi="仿宋_GB2312" w:cs="仿宋_GB2312" w:eastAsia="仿宋_GB2312"/>
              </w:rPr>
              <w:t>2.项目团队配置.docx 中小企业声明函 报价表 商务应答表.docx 承诺函.docx 3.药剂质量承诺与证明.docx 资格证明文件.docx 1.企业业绩.docx 响应文件封面 首轮报价明细表.docx 标的清单 服务内容及服务邀请应答表.docx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供应商首次磋商报价未出现选择性报价，首次磋商报价未超出采购预算及最高限价</w:t>
            </w:r>
          </w:p>
        </w:tc>
        <w:tc>
          <w:tcPr>
            <w:tcW w:type="dxa" w:w="1661"/>
          </w:tcPr>
          <w:p>
            <w:pPr>
              <w:pStyle w:val="null3"/>
            </w:pPr>
            <w:r>
              <w:rPr>
                <w:rFonts w:ascii="仿宋_GB2312" w:hAnsi="仿宋_GB2312" w:cs="仿宋_GB2312" w:eastAsia="仿宋_GB2312"/>
              </w:rPr>
              <w:t>首轮报价明细表.docx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磋商内容未出现漏项，要求相符，未出现重大负偏差</w:t>
            </w:r>
          </w:p>
        </w:tc>
        <w:tc>
          <w:tcPr>
            <w:tcW w:type="dxa" w:w="1661"/>
          </w:tcPr>
          <w:p>
            <w:pPr>
              <w:pStyle w:val="null3"/>
            </w:pPr>
            <w:r>
              <w:rPr>
                <w:rFonts w:ascii="仿宋_GB2312" w:hAnsi="仿宋_GB2312" w:cs="仿宋_GB2312" w:eastAsia="仿宋_GB2312"/>
              </w:rPr>
              <w:t>2.项目团队配置.docx 5.作业、供货与进度保障方案.docx 中小企业声明函 报价表 商务应答表.docx 承诺函.docx 3.药剂质量承诺与证明.docx 资格证明文件.docx 6.全过程作业质量管控措施.docx 1.企业业绩.docx 响应文件封面 首轮报价明细表.docx 8.服务承诺与合理化建议.docx 残疾人福利性单位声明函 保证金及信用信息.docx 4.项目实施方案.docx 标的清单 7.服务保障与应急响应.docx 服务内容及服务邀请应答表.docx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满足竞争性磋商文件中实质性要求。</w:t>
            </w:r>
          </w:p>
        </w:tc>
        <w:tc>
          <w:tcPr>
            <w:tcW w:type="dxa" w:w="1661"/>
          </w:tcPr>
          <w:p>
            <w:pPr>
              <w:pStyle w:val="null3"/>
            </w:pPr>
            <w:r>
              <w:rPr>
                <w:rFonts w:ascii="仿宋_GB2312" w:hAnsi="仿宋_GB2312" w:cs="仿宋_GB2312" w:eastAsia="仿宋_GB2312"/>
              </w:rPr>
              <w:t>首轮报价明细表.docx 中小企业声明函 保证金及信用信息.docx 标的清单 报价表 服务内容及服务邀请应答表.docx 商务应答表.docx 响应函 承诺函.docx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 评审内容 包含：类似项目业绩证明 2. 评审标准 类似项目业绩（6分）：2023年1月1日至投标截止之日，每提供1项类似项目业绩得2分。需提供合同关键页（含首页、内容页、签字盖章页）。本项满分6分，超过3项按6分计。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1.企业业绩.docx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 评审内容 方案需包含：①项目组织架构与职责②关键人员资质与经验③人员稳定性承诺，共3个核心模块。 2. 评审标准 ①项目组织架构与职责（4分）： 架构图清晰，关键岗位（项目负责人、技术负责人、作业队长、安全员等）职责分工明确，得4分；架构职责基本清晰，得2分；不清晰，得0分。 ②关键人员资质与经验（4分）： 提供项目负责人、技术负责人的相关经验证明（如履历表）、植保或农学相关专业职称/资格证书等证明材料，每人得2分，满分4分；证明材料不全或不符合，相应扣分。 ③人员稳定性承诺（2分）： 提供未经采购人同意不随意更换项目负责人及技术负责人的承诺函，得2分；未提供不得分。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2.项目团队配置.docx</w:t>
            </w:r>
          </w:p>
        </w:tc>
      </w:tr>
      <w:tr>
        <w:tc>
          <w:tcPr>
            <w:tcW w:type="dxa" w:w="831"/>
            <w:vMerge/>
          </w:tcPr>
          <w:p/>
        </w:tc>
        <w:tc>
          <w:tcPr>
            <w:tcW w:type="dxa" w:w="1661"/>
          </w:tcPr>
          <w:p>
            <w:pPr>
              <w:pStyle w:val="null3"/>
            </w:pPr>
            <w:r>
              <w:rPr>
                <w:rFonts w:ascii="仿宋_GB2312" w:hAnsi="仿宋_GB2312" w:cs="仿宋_GB2312" w:eastAsia="仿宋_GB2312"/>
              </w:rPr>
              <w:t>药剂质量承诺与证明</w:t>
            </w:r>
          </w:p>
        </w:tc>
        <w:tc>
          <w:tcPr>
            <w:tcW w:type="dxa" w:w="2492"/>
          </w:tcPr>
          <w:p>
            <w:pPr>
              <w:pStyle w:val="null3"/>
            </w:pPr>
            <w:r>
              <w:rPr>
                <w:rFonts w:ascii="仿宋_GB2312" w:hAnsi="仿宋_GB2312" w:cs="仿宋_GB2312" w:eastAsia="仿宋_GB2312"/>
              </w:rPr>
              <w:t>1. 评审内容：药剂质量承诺与证明 2. 评审标准 提供承诺函， 内容包括： a.承诺所用农药“三证”（农药登记证、农药生产批准证、企业标准）齐全，符合国家标准及采购需求； b.明确承诺如因药剂质量问题导致药害或防效不达标，承担全部责任； c.明确承诺在作业前或作业中配合采购人进行药剂抽检； d.明确承诺提供所用药剂批次的相关质量证明文件。 以上承诺内容齐全得8分，每缺少1项承诺扣2分，扣完为止。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3.药剂质量承诺与证明.docx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 评审内容 方案需包含：①目标理解与需求分析②任务分解与进度计划③技术路径与方法（含药剂配比、作业参数、防效保障措施），共3个核心模块。 2. 评审标准 ①基础分值：每个核心模块内容无缺陷得5分，3个模块满分15分。 ②缺陷扣分：每个模块每存在1处缺陷，扣1分；单个模块缺陷扣分最多扣完该模块分值5分，整体扣完15分为止。 ③缺陷定义：符合以下任意一种情形即判定为缺陷： a.内容不完整；b.描述过于简单；c.非专门针对本项目；d.存在逻辑漏洞；e.不利于目标实现。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4.项目实施方案.docx</w:t>
            </w:r>
          </w:p>
        </w:tc>
      </w:tr>
      <w:tr>
        <w:tc>
          <w:tcPr>
            <w:tcW w:type="dxa" w:w="831"/>
            <w:vMerge/>
          </w:tcPr>
          <w:p/>
        </w:tc>
        <w:tc>
          <w:tcPr>
            <w:tcW w:type="dxa" w:w="1661"/>
          </w:tcPr>
          <w:p>
            <w:pPr>
              <w:pStyle w:val="null3"/>
            </w:pPr>
            <w:r>
              <w:rPr>
                <w:rFonts w:ascii="仿宋_GB2312" w:hAnsi="仿宋_GB2312" w:cs="仿宋_GB2312" w:eastAsia="仿宋_GB2312"/>
              </w:rPr>
              <w:t>作业、供货与进度保障方案</w:t>
            </w:r>
          </w:p>
        </w:tc>
        <w:tc>
          <w:tcPr>
            <w:tcW w:type="dxa" w:w="2492"/>
          </w:tcPr>
          <w:p>
            <w:pPr>
              <w:pStyle w:val="null3"/>
            </w:pPr>
            <w:r>
              <w:rPr>
                <w:rFonts w:ascii="仿宋_GB2312" w:hAnsi="仿宋_GB2312" w:cs="仿宋_GB2312" w:eastAsia="仿宋_GB2312"/>
              </w:rPr>
              <w:t>1. 评审内容 方案需包含：①作业设备与人员保障计划②药剂采购与配送方案③应急保障措施（如恶劣天气、设备故障应对），共3个核心模块。 2. 评审标准 ①基础分值：每个核心模块内容无缺陷得4分，3个模块满分12分。 ②缺陷扣分：每个模块每存在1处缺陷，扣0.8分；单个模块缺陷扣分最多扣完该模块分值4分，整体扣完12分为止。 ③缺陷定义：符合以下任意一种情形即判定为缺陷： a.内容不完整；b.描述过于简单；c.非专门针对本项目；d.存在逻辑漏洞；e.不利于目标实现。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5.作业、供货与进度保障方案.docx</w:t>
            </w:r>
          </w:p>
        </w:tc>
      </w:tr>
      <w:tr>
        <w:tc>
          <w:tcPr>
            <w:tcW w:type="dxa" w:w="831"/>
            <w:vMerge/>
          </w:tcPr>
          <w:p/>
        </w:tc>
        <w:tc>
          <w:tcPr>
            <w:tcW w:type="dxa" w:w="1661"/>
          </w:tcPr>
          <w:p>
            <w:pPr>
              <w:pStyle w:val="null3"/>
            </w:pPr>
            <w:r>
              <w:rPr>
                <w:rFonts w:ascii="仿宋_GB2312" w:hAnsi="仿宋_GB2312" w:cs="仿宋_GB2312" w:eastAsia="仿宋_GB2312"/>
              </w:rPr>
              <w:t>全过程作业质量管控措施</w:t>
            </w:r>
          </w:p>
        </w:tc>
        <w:tc>
          <w:tcPr>
            <w:tcW w:type="dxa" w:w="2492"/>
          </w:tcPr>
          <w:p>
            <w:pPr>
              <w:pStyle w:val="null3"/>
            </w:pPr>
            <w:r>
              <w:rPr>
                <w:rFonts w:ascii="仿宋_GB2312" w:hAnsi="仿宋_GB2312" w:cs="仿宋_GB2312" w:eastAsia="仿宋_GB2312"/>
              </w:rPr>
              <w:t>1. 评审内容：全过程作业质量管控措施。 2. 评审标准：从药剂采购、入库查验、作业过程监控、作业后效果自检的全链条质量监督措施，内容无缺陷得8分，每存在1处缺陷扣1.6分，最多扣完该模块分值8分。注：本项评审重点为过程监督机制的完整性和可操作性，避免与评审项3（质量承诺）、评审项5（采购与配送流程）内容重复。 3.缺陷定义：符合以下任意一种情形即判定为缺陷： a.内容不完整；b.描述过于简单；c.非专门针对本项目；d.存在逻辑漏洞；e.不利于目标实现。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6.全过程作业质量管控措施.docx</w:t>
            </w:r>
          </w:p>
        </w:tc>
      </w:tr>
      <w:tr>
        <w:tc>
          <w:tcPr>
            <w:tcW w:type="dxa" w:w="831"/>
            <w:vMerge/>
          </w:tcPr>
          <w:p/>
        </w:tc>
        <w:tc>
          <w:tcPr>
            <w:tcW w:type="dxa" w:w="1661"/>
          </w:tcPr>
          <w:p>
            <w:pPr>
              <w:pStyle w:val="null3"/>
            </w:pPr>
            <w:r>
              <w:rPr>
                <w:rFonts w:ascii="仿宋_GB2312" w:hAnsi="仿宋_GB2312" w:cs="仿宋_GB2312" w:eastAsia="仿宋_GB2312"/>
              </w:rPr>
              <w:t>服务保障与应急响应</w:t>
            </w:r>
          </w:p>
        </w:tc>
        <w:tc>
          <w:tcPr>
            <w:tcW w:type="dxa" w:w="2492"/>
          </w:tcPr>
          <w:p>
            <w:pPr>
              <w:pStyle w:val="null3"/>
            </w:pPr>
            <w:r>
              <w:rPr>
                <w:rFonts w:ascii="仿宋_GB2312" w:hAnsi="仿宋_GB2312" w:cs="仿宋_GB2312" w:eastAsia="仿宋_GB2312"/>
              </w:rPr>
              <w:t>1. 评审内容 方案需包含：①技术服务与指导计划②问题响应机制（含防效不达标的补救措施）③突发事件应急预案（含安全事故、药害、恶劣天气等），共3个核心模块。 2. 评审标准 ①基础分值：每个核心模块内容无缺陷得3分，3个模块满分9分。 ②缺陷扣分：每个模块每存在1处缺陷，扣1分；单个模块缺陷扣分最多扣完该模块分值3分，整体扣完9分为止。 ③缺陷定义：符合以下任意一种情形即判定为缺陷： a.内容不完整；b.缺少关键证明；c.描述模糊；d.套用其他项目内容；e.存在不可能情形。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7.服务保障与应急响应.docx</w:t>
            </w:r>
          </w:p>
        </w:tc>
      </w:tr>
      <w:tr>
        <w:tc>
          <w:tcPr>
            <w:tcW w:type="dxa" w:w="831"/>
            <w:vMerge/>
          </w:tcPr>
          <w:p/>
        </w:tc>
        <w:tc>
          <w:tcPr>
            <w:tcW w:type="dxa" w:w="1661"/>
          </w:tcPr>
          <w:p>
            <w:pPr>
              <w:pStyle w:val="null3"/>
            </w:pPr>
            <w:r>
              <w:rPr>
                <w:rFonts w:ascii="仿宋_GB2312" w:hAnsi="仿宋_GB2312" w:cs="仿宋_GB2312" w:eastAsia="仿宋_GB2312"/>
              </w:rPr>
              <w:t>服务承诺与合理化建议</w:t>
            </w:r>
          </w:p>
        </w:tc>
        <w:tc>
          <w:tcPr>
            <w:tcW w:type="dxa" w:w="2492"/>
          </w:tcPr>
          <w:p>
            <w:pPr>
              <w:pStyle w:val="null3"/>
            </w:pPr>
            <w:r>
              <w:rPr>
                <w:rFonts w:ascii="仿宋_GB2312" w:hAnsi="仿宋_GB2312" w:cs="仿宋_GB2312" w:eastAsia="仿宋_GB2312"/>
              </w:rPr>
              <w:t>1. 评审内容 包含：①服务承诺②合理化建议，共2个核心模块。 2. 评审标准 ①服务承诺（8分）： 承诺内容需包含以下要素： a.承诺在服务关键时期派驻技术人员进行现场指导； b.承诺无条件接受采购人及相关部门的全过程监督； c.承诺按时提供完整的作业过程性资料及防效报告； d.承诺对未防、漏防或防效不达标的地块，按采购人要求立即进行补防，并承担相关费用。 承诺内容齐全得8分，每缺少1项承诺扣2分，扣完为止。 ②合理化建议（4分）： 针对本项目实施提出的优化建议，如提高防效的技术措施、降低作业成本的方法、提升农户满意度的举措、与当地农技部门协作机制等。建议内容： a.科学合理、切实可行、具有针对性和创新性，得4分； b.具有一定可行性，但针对性或创新性一般，得2分； c.建议不可行或与本项目无关，得0分。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8.服务承诺与合理化建议.docx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中华人民共和国财政部2021年2月20日发布的“政府采购促进中小企业发展政策问答”，本合同包专门面向中小企业采购，不再执行价格评审优惠的扶持政策。价格分统一采用低价优先法计算，即满足磋商文件要求且最终磋商报价单价最低的为评审基准价，其价格分为满分20分。其他供应商的价格分统一按照下列公式计算：单价报价得分 = (评审基准价 / 供应商最终磋商单价报价) × 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首轮报价明细表.docx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详见附件：首轮报价明细表.docx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详见附件：1.企业业绩.docx</w:t>
      </w:r>
    </w:p>
    <w:p>
      <w:pPr>
        <w:pStyle w:val="null3"/>
        <w:ind w:firstLine="960"/>
      </w:pPr>
      <w:r>
        <w:rPr>
          <w:rFonts w:ascii="仿宋_GB2312" w:hAnsi="仿宋_GB2312" w:cs="仿宋_GB2312" w:eastAsia="仿宋_GB2312"/>
        </w:rPr>
        <w:t>详见附件：2.项目团队配置.docx</w:t>
      </w:r>
    </w:p>
    <w:p>
      <w:pPr>
        <w:pStyle w:val="null3"/>
        <w:ind w:firstLine="960"/>
      </w:pPr>
      <w:r>
        <w:rPr>
          <w:rFonts w:ascii="仿宋_GB2312" w:hAnsi="仿宋_GB2312" w:cs="仿宋_GB2312" w:eastAsia="仿宋_GB2312"/>
        </w:rPr>
        <w:t>详见附件：3.药剂质量承诺与证明.docx</w:t>
      </w:r>
    </w:p>
    <w:p>
      <w:pPr>
        <w:pStyle w:val="null3"/>
        <w:ind w:firstLine="960"/>
      </w:pPr>
      <w:r>
        <w:rPr>
          <w:rFonts w:ascii="仿宋_GB2312" w:hAnsi="仿宋_GB2312" w:cs="仿宋_GB2312" w:eastAsia="仿宋_GB2312"/>
        </w:rPr>
        <w:t>详见附件：4.项目实施方案.docx</w:t>
      </w:r>
    </w:p>
    <w:p>
      <w:pPr>
        <w:pStyle w:val="null3"/>
        <w:ind w:firstLine="960"/>
      </w:pPr>
      <w:r>
        <w:rPr>
          <w:rFonts w:ascii="仿宋_GB2312" w:hAnsi="仿宋_GB2312" w:cs="仿宋_GB2312" w:eastAsia="仿宋_GB2312"/>
        </w:rPr>
        <w:t>详见附件：5.作业、供货与进度保障方案.docx</w:t>
      </w:r>
    </w:p>
    <w:p>
      <w:pPr>
        <w:pStyle w:val="null3"/>
        <w:ind w:firstLine="960"/>
      </w:pPr>
      <w:r>
        <w:rPr>
          <w:rFonts w:ascii="仿宋_GB2312" w:hAnsi="仿宋_GB2312" w:cs="仿宋_GB2312" w:eastAsia="仿宋_GB2312"/>
        </w:rPr>
        <w:t>详见附件：6.全过程作业质量管控措施.docx</w:t>
      </w:r>
    </w:p>
    <w:p>
      <w:pPr>
        <w:pStyle w:val="null3"/>
        <w:ind w:firstLine="960"/>
      </w:pPr>
      <w:r>
        <w:rPr>
          <w:rFonts w:ascii="仿宋_GB2312" w:hAnsi="仿宋_GB2312" w:cs="仿宋_GB2312" w:eastAsia="仿宋_GB2312"/>
        </w:rPr>
        <w:t>详见附件：7.服务保障与应急响应.docx</w:t>
      </w:r>
    </w:p>
    <w:p>
      <w:pPr>
        <w:pStyle w:val="null3"/>
        <w:ind w:firstLine="960"/>
      </w:pPr>
      <w:r>
        <w:rPr>
          <w:rFonts w:ascii="仿宋_GB2312" w:hAnsi="仿宋_GB2312" w:cs="仿宋_GB2312" w:eastAsia="仿宋_GB2312"/>
        </w:rPr>
        <w:t>详见附件：8.服务承诺与合理化建议.docx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详见附件：2026年中央小麦一喷三防服务项目政府采购合同书.docx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