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3"/>
        <w:jc w:val="center"/>
        <w:rPr>
          <w:rFonts w:hint="eastAsia" w:ascii="宋体" w:hAnsi="宋体" w:eastAsia="宋体" w:cs="宋体"/>
          <w:b/>
          <w:bCs/>
          <w:spacing w:val="12"/>
          <w:kern w:val="2"/>
          <w:sz w:val="44"/>
          <w:szCs w:val="52"/>
          <w:lang w:val="en-US" w:eastAsia="zh-CN" w:bidi="ar-SA"/>
        </w:rPr>
      </w:pPr>
    </w:p>
    <w:p w14:paraId="4D67E87B">
      <w:pPr>
        <w:pStyle w:val="3"/>
        <w:jc w:val="center"/>
        <w:rPr>
          <w:rFonts w:hint="eastAsia" w:ascii="宋体" w:hAnsi="宋体" w:eastAsia="宋体" w:cs="宋体"/>
          <w:b/>
          <w:bCs/>
          <w:spacing w:val="12"/>
          <w:kern w:val="2"/>
          <w:sz w:val="44"/>
          <w:szCs w:val="52"/>
          <w:lang w:val="en-US" w:eastAsia="zh-CN" w:bidi="ar-SA"/>
        </w:rPr>
      </w:pPr>
    </w:p>
    <w:p w14:paraId="2CB3F1B2">
      <w:pPr>
        <w:pStyle w:val="3"/>
        <w:jc w:val="center"/>
        <w:rPr>
          <w:rFonts w:hint="eastAsia" w:ascii="宋体" w:hAnsi="宋体" w:eastAsia="宋体" w:cs="宋体"/>
          <w:b/>
          <w:bCs/>
          <w:spacing w:val="12"/>
          <w:kern w:val="2"/>
          <w:sz w:val="44"/>
          <w:szCs w:val="52"/>
          <w:lang w:val="en-US" w:eastAsia="zh-CN" w:bidi="ar-SA"/>
        </w:rPr>
      </w:pPr>
      <w:r>
        <w:rPr>
          <w:rFonts w:hint="eastAsia" w:ascii="宋体" w:hAnsi="宋体" w:eastAsia="宋体" w:cs="宋体"/>
          <w:b/>
          <w:bCs/>
          <w:spacing w:val="12"/>
          <w:kern w:val="2"/>
          <w:sz w:val="44"/>
          <w:szCs w:val="52"/>
          <w:lang w:val="en-US" w:eastAsia="zh-CN" w:bidi="ar-SA"/>
        </w:rPr>
        <w:t>2026年中央小麦一喷三防服务项目</w:t>
      </w:r>
    </w:p>
    <w:p w14:paraId="584FE7D5">
      <w:pPr>
        <w:pStyle w:val="3"/>
        <w:rPr>
          <w:rFonts w:hint="eastAsia" w:ascii="宋体" w:hAnsi="宋体" w:eastAsia="宋体" w:cs="宋体"/>
        </w:rPr>
      </w:pPr>
    </w:p>
    <w:p w14:paraId="1BE10E8A">
      <w:pPr>
        <w:pStyle w:val="3"/>
        <w:rPr>
          <w:rFonts w:hint="eastAsia" w:ascii="宋体" w:hAnsi="宋体" w:eastAsia="宋体" w:cs="宋体"/>
        </w:rPr>
      </w:pP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3"/>
        <w:rPr>
          <w:rFonts w:hint="eastAsia" w:ascii="宋体" w:hAnsi="宋体" w:eastAsia="宋体" w:cs="宋体"/>
          <w:spacing w:val="12"/>
        </w:rPr>
      </w:pPr>
    </w:p>
    <w:p w14:paraId="1C31F11D">
      <w:pPr>
        <w:pStyle w:val="3"/>
        <w:rPr>
          <w:rFonts w:hint="eastAsia" w:ascii="宋体" w:hAnsi="宋体" w:eastAsia="宋体" w:cs="宋体"/>
          <w:spacing w:val="12"/>
        </w:rPr>
      </w:pPr>
    </w:p>
    <w:p w14:paraId="05036CF6">
      <w:pPr>
        <w:pStyle w:val="8"/>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13"/>
        <w:ind w:left="0" w:leftChars="0" w:firstLine="0" w:firstLineChars="0"/>
        <w:rPr>
          <w:rFonts w:hint="eastAsia" w:ascii="宋体" w:hAnsi="宋体" w:eastAsia="宋体" w:cs="宋体"/>
        </w:rPr>
      </w:pPr>
    </w:p>
    <w:p w14:paraId="70218345">
      <w:pPr>
        <w:pStyle w:val="13"/>
        <w:ind w:left="0" w:leftChars="0" w:firstLine="0" w:firstLineChars="0"/>
        <w:rPr>
          <w:rFonts w:hint="eastAsia" w:ascii="宋体" w:hAnsi="宋体" w:eastAsia="宋体" w:cs="宋体"/>
        </w:rPr>
      </w:pPr>
    </w:p>
    <w:p w14:paraId="736D619B">
      <w:pPr>
        <w:pStyle w:val="13"/>
        <w:rPr>
          <w:rFonts w:hint="eastAsia" w:ascii="宋体" w:hAnsi="宋体" w:eastAsia="宋体" w:cs="宋体"/>
        </w:rPr>
      </w:pPr>
    </w:p>
    <w:p w14:paraId="0A00C8A0">
      <w:pPr>
        <w:pStyle w:val="13"/>
        <w:rPr>
          <w:rFonts w:hint="eastAsia" w:ascii="宋体" w:hAnsi="宋体" w:eastAsia="宋体" w:cs="宋体"/>
        </w:rPr>
      </w:pPr>
    </w:p>
    <w:p w14:paraId="0ECB10CE">
      <w:pPr>
        <w:pStyle w:val="13"/>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r>
        <w:rPr>
          <w:rFonts w:hint="eastAsia" w:ascii="宋体" w:hAnsi="宋体" w:eastAsia="宋体" w:cs="宋体"/>
          <w:b/>
          <w:bCs/>
          <w:spacing w:val="12"/>
          <w:sz w:val="28"/>
          <w:szCs w:val="28"/>
          <w:lang w:eastAsia="zh-CN"/>
        </w:rPr>
        <w:t>渭南市农业技术推广中心</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66993D7C">
      <w:pPr>
        <w:spacing w:line="640" w:lineRule="exact"/>
        <w:rPr>
          <w:rFonts w:hint="eastAsia" w:ascii="宋体" w:hAnsi="宋体" w:eastAsia="宋体" w:cs="宋体"/>
          <w:sz w:val="24"/>
          <w:lang w:val="en-US" w:eastAsia="zh-CN"/>
        </w:rPr>
        <w:sectPr>
          <w:pgSz w:w="11906" w:h="16838"/>
          <w:pgMar w:top="1440" w:right="1463" w:bottom="1440" w:left="1463" w:header="851" w:footer="992" w:gutter="0"/>
          <w:cols w:space="425" w:num="1"/>
          <w:docGrid w:type="lines" w:linePitch="312" w:charSpace="0"/>
        </w:sectPr>
      </w:pPr>
    </w:p>
    <w:p w14:paraId="285DD8D8">
      <w:pPr>
        <w:spacing w:line="640" w:lineRule="exact"/>
        <w:rPr>
          <w:rFonts w:hint="eastAsia" w:ascii="宋体" w:hAnsi="宋体" w:eastAsia="宋体" w:cs="宋体"/>
          <w:sz w:val="24"/>
        </w:rPr>
      </w:pP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2905D8C9">
      <w:pPr>
        <w:spacing w:line="640" w:lineRule="exact"/>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eastAsia="宋体" w:cs="宋体"/>
          <w:sz w:val="24"/>
          <w:lang w:val="en-US" w:eastAsia="zh-CN"/>
        </w:rPr>
        <w:t xml:space="preserve">  </w:t>
      </w:r>
      <w:r>
        <w:rPr>
          <w:rFonts w:hint="eastAsia" w:ascii="宋体" w:hAnsi="宋体" w:eastAsia="宋体" w:cs="宋体"/>
          <w:sz w:val="24"/>
        </w:rPr>
        <w:t xml:space="preserve"> 签订时间：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43C34446">
      <w:pPr>
        <w:spacing w:line="640" w:lineRule="exact"/>
        <w:rPr>
          <w:rFonts w:hint="eastAsia" w:ascii="宋体" w:hAnsi="宋体" w:eastAsia="宋体" w:cs="宋体"/>
          <w:sz w:val="24"/>
          <w:lang w:eastAsia="zh-CN"/>
        </w:rPr>
      </w:pPr>
      <w:r>
        <w:rPr>
          <w:rFonts w:hint="eastAsia" w:ascii="宋体" w:hAnsi="宋体" w:eastAsia="宋体" w:cs="宋体"/>
          <w:sz w:val="24"/>
        </w:rPr>
        <w:t>采购人</w:t>
      </w:r>
      <w:r>
        <w:rPr>
          <w:rFonts w:hint="eastAsia" w:ascii="宋体" w:hAnsi="宋体" w:eastAsia="宋体" w:cs="宋体"/>
          <w:sz w:val="24"/>
          <w:lang w:eastAsia="zh-CN"/>
        </w:rPr>
        <w:t>（</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sz w:val="24"/>
          <w:lang w:eastAsia="zh-CN"/>
        </w:rPr>
        <w:t>渭南市农业技术推广中心</w:t>
      </w:r>
    </w:p>
    <w:p w14:paraId="22041339">
      <w:pPr>
        <w:spacing w:line="640" w:lineRule="exact"/>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lang w:eastAsia="zh-CN"/>
        </w:rPr>
        <w:t>（</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p>
    <w:p w14:paraId="32A88FB4">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cs="宋体"/>
          <w:b/>
          <w:bCs/>
          <w:sz w:val="24"/>
          <w:u w:val="single"/>
          <w:lang w:eastAsia="zh-CN"/>
        </w:rPr>
        <w:t>2026年中央小麦一喷三防服务项目</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525EAB76">
      <w:pPr>
        <w:spacing w:line="360" w:lineRule="auto"/>
        <w:ind w:firstLine="480" w:firstLineChars="200"/>
        <w:rPr>
          <w:rFonts w:hint="eastAsia" w:ascii="宋体" w:hAnsi="宋体" w:cs="宋体"/>
          <w:sz w:val="24"/>
          <w:lang w:eastAsia="zh-CN"/>
        </w:rPr>
      </w:pPr>
      <w:r>
        <w:rPr>
          <w:rFonts w:hint="eastAsia" w:ascii="宋体" w:hAnsi="宋体" w:cs="宋体"/>
          <w:sz w:val="24"/>
          <w:lang w:eastAsia="zh-CN"/>
        </w:rPr>
        <w:t>下列文件均为本合同的组成部分，互为补充和解释，如有不明确或不一致之处，以如下顺序在先者为准：</w:t>
      </w:r>
    </w:p>
    <w:p w14:paraId="342FCCF3">
      <w:pPr>
        <w:spacing w:line="360" w:lineRule="auto"/>
        <w:ind w:firstLine="480" w:firstLineChars="200"/>
        <w:rPr>
          <w:rFonts w:hint="eastAsia" w:ascii="宋体" w:hAnsi="宋体" w:eastAsia="宋体" w:cs="宋体"/>
          <w:sz w:val="24"/>
        </w:rPr>
      </w:pPr>
      <w:r>
        <w:rPr>
          <w:rFonts w:hint="eastAsia" w:ascii="宋体" w:hAnsi="宋体" w:cs="宋体"/>
          <w:sz w:val="24"/>
          <w:lang w:eastAsia="zh-CN"/>
        </w:rPr>
        <w:t>1.</w:t>
      </w:r>
      <w:r>
        <w:rPr>
          <w:rFonts w:hint="eastAsia" w:ascii="宋体" w:hAnsi="宋体" w:cs="宋体"/>
          <w:sz w:val="24"/>
          <w:lang w:val="en-US" w:eastAsia="zh-CN"/>
        </w:rPr>
        <w:t>本合同</w:t>
      </w:r>
      <w:r>
        <w:rPr>
          <w:rFonts w:hint="eastAsia" w:ascii="宋体" w:hAnsi="宋体" w:eastAsia="宋体" w:cs="宋体"/>
          <w:sz w:val="24"/>
        </w:rPr>
        <w:t>协议书条款；</w:t>
      </w:r>
    </w:p>
    <w:p w14:paraId="3C71A577">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2.</w:t>
      </w:r>
      <w:r>
        <w:rPr>
          <w:rFonts w:hint="eastAsia" w:ascii="宋体" w:hAnsi="宋体" w:eastAsia="宋体" w:cs="宋体"/>
          <w:sz w:val="24"/>
        </w:rPr>
        <w:t>成交通知书；</w:t>
      </w:r>
    </w:p>
    <w:p w14:paraId="7D0FAEC5">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3.</w:t>
      </w:r>
      <w:r>
        <w:rPr>
          <w:rFonts w:hint="eastAsia" w:ascii="宋体" w:hAnsi="宋体" w:eastAsia="宋体" w:cs="宋体"/>
          <w:sz w:val="24"/>
        </w:rPr>
        <w:t>竞争性磋商文件</w:t>
      </w:r>
      <w:r>
        <w:rPr>
          <w:rFonts w:hint="eastAsia" w:ascii="宋体" w:hAnsi="宋体" w:cs="宋体"/>
          <w:sz w:val="24"/>
          <w:lang w:val="en-US" w:eastAsia="zh-CN"/>
        </w:rPr>
        <w:t>及其澄清、修改文件</w:t>
      </w:r>
      <w:r>
        <w:rPr>
          <w:rFonts w:hint="eastAsia" w:ascii="宋体" w:hAnsi="宋体" w:eastAsia="宋体" w:cs="宋体"/>
          <w:sz w:val="24"/>
        </w:rPr>
        <w:t>；</w:t>
      </w:r>
    </w:p>
    <w:p w14:paraId="50060DA5">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4.</w:t>
      </w:r>
      <w:r>
        <w:rPr>
          <w:rFonts w:hint="eastAsia" w:ascii="宋体" w:hAnsi="宋体" w:eastAsia="宋体" w:cs="宋体"/>
          <w:sz w:val="24"/>
        </w:rPr>
        <w:t>磋商响应文件</w:t>
      </w:r>
      <w:r>
        <w:rPr>
          <w:rFonts w:hint="eastAsia" w:ascii="宋体" w:hAnsi="宋体" w:cs="宋体"/>
          <w:sz w:val="24"/>
          <w:lang w:val="en-US" w:eastAsia="zh-CN"/>
        </w:rPr>
        <w:t>及其澄清、说明文件</w:t>
      </w:r>
      <w:r>
        <w:rPr>
          <w:rFonts w:hint="eastAsia" w:ascii="宋体" w:hAnsi="宋体" w:eastAsia="宋体" w:cs="宋体"/>
          <w:sz w:val="24"/>
        </w:rPr>
        <w:t>；</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w:t>
      </w:r>
      <w:r>
        <w:rPr>
          <w:rFonts w:hint="eastAsia" w:ascii="宋体" w:hAnsi="宋体" w:cs="宋体"/>
          <w:sz w:val="24"/>
          <w:lang w:val="en-US" w:eastAsia="zh-CN"/>
        </w:rPr>
        <w:t>.国家及行业相关标准、规范</w:t>
      </w:r>
      <w:r>
        <w:rPr>
          <w:rFonts w:hint="eastAsia" w:ascii="宋体" w:hAnsi="宋体" w:eastAsia="宋体" w:cs="宋体"/>
          <w:sz w:val="24"/>
        </w:rPr>
        <w:t>。</w:t>
      </w:r>
    </w:p>
    <w:p w14:paraId="58EC16D7">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二、服务内容与要求</w:t>
      </w:r>
    </w:p>
    <w:p w14:paraId="717B1D05">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（一）服务目标：</w:t>
      </w:r>
      <w:r>
        <w:rPr>
          <w:rFonts w:hint="eastAsia" w:ascii="宋体" w:hAnsi="宋体" w:eastAsia="宋体" w:cs="宋体"/>
          <w:sz w:val="24"/>
        </w:rPr>
        <w:t>小麦穗期一次性喷施杀虫剂、杀菌剂、植物生长调节剂等，达到防病虫害、防干热风、防倒伏、增加粒重的目的，提高病虫害防治率，促进小麦丰产丰收，稳定提高粮食产量。</w:t>
      </w:r>
    </w:p>
    <w:p w14:paraId="0017126A">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（二）服务面积：</w:t>
      </w:r>
      <w:r>
        <w:rPr>
          <w:rFonts w:hint="eastAsia" w:ascii="宋体" w:hAnsi="宋体" w:eastAsia="宋体" w:cs="宋体"/>
          <w:i/>
          <w:iCs/>
          <w:sz w:val="24"/>
          <w:u w:val="single"/>
          <w:lang w:val="en-US" w:eastAsia="zh-CN"/>
        </w:rPr>
        <w:t xml:space="preserve">           </w:t>
      </w:r>
      <w:r>
        <w:rPr>
          <w:rFonts w:hint="eastAsia" w:ascii="宋体" w:hAnsi="宋体" w:eastAsia="宋体" w:cs="宋体"/>
          <w:sz w:val="24"/>
        </w:rPr>
        <w:t>亩（</w:t>
      </w:r>
      <w:r>
        <w:rPr>
          <w:rFonts w:hint="eastAsia" w:ascii="宋体" w:hAnsi="宋体" w:cs="宋体"/>
          <w:sz w:val="24"/>
          <w:lang w:val="en-US" w:eastAsia="zh-CN"/>
        </w:rPr>
        <w:t>合同总价/成交单价</w:t>
      </w:r>
      <w:r>
        <w:rPr>
          <w:rFonts w:hint="eastAsia" w:ascii="宋体" w:hAnsi="宋体" w:eastAsia="宋体" w:cs="宋体"/>
          <w:sz w:val="24"/>
        </w:rPr>
        <w:t>）。</w:t>
      </w:r>
    </w:p>
    <w:p w14:paraId="67C5C394">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（三）药剂使用要求：</w:t>
      </w:r>
    </w:p>
    <w:p w14:paraId="3893D64D">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所有药剂需符合国家标准，三证齐全（农药登记证、农药生产批准证、企业标准），高效低毒、安全环保，且登记防治对象均为小麦，严格按照农药登记证推荐最高剂量使用；叶面肥、植物调节剂及飞防助剂按以下要求执行：</w:t>
      </w:r>
    </w:p>
    <w:p w14:paraId="049FE883">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1.</w:t>
      </w:r>
      <w:r>
        <w:rPr>
          <w:rFonts w:hint="eastAsia" w:ascii="宋体" w:hAnsi="宋体" w:eastAsia="宋体" w:cs="宋体"/>
          <w:sz w:val="24"/>
          <w:lang w:val="en-US" w:eastAsia="zh-CN"/>
        </w:rPr>
        <w:t>杀菌剂：40%丙硫·戊唑醇，登记防治对象为小麦，按农药登记证推荐最高剂量使用；</w:t>
      </w:r>
    </w:p>
    <w:p w14:paraId="00BCDA21">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2.</w:t>
      </w:r>
      <w:r>
        <w:rPr>
          <w:rFonts w:hint="eastAsia" w:ascii="宋体" w:hAnsi="宋体" w:eastAsia="宋体" w:cs="宋体"/>
          <w:sz w:val="24"/>
          <w:lang w:val="en-US" w:eastAsia="zh-CN"/>
        </w:rPr>
        <w:t>杀虫剂：20%及以上联苯菊酯·噻虫嗪，登记防治对象为小麦，按农药登记证推荐最高剂量使用；</w:t>
      </w:r>
    </w:p>
    <w:p w14:paraId="54035512">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lang w:val="en-US" w:eastAsia="zh-CN"/>
        </w:rPr>
        <w:t>叶面肥：高纯度膨化磷酸二氢钾，每亩用量不低于100g；</w:t>
      </w:r>
    </w:p>
    <w:p w14:paraId="1982EFA4">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4.</w:t>
      </w:r>
      <w:r>
        <w:rPr>
          <w:rFonts w:hint="eastAsia" w:ascii="宋体" w:hAnsi="宋体" w:eastAsia="宋体" w:cs="宋体"/>
          <w:sz w:val="24"/>
          <w:lang w:val="en-US" w:eastAsia="zh-CN"/>
        </w:rPr>
        <w:t>植物调节剂：14羟基芸苔素内酯，每亩有效成份含量不低于10ml；</w:t>
      </w:r>
    </w:p>
    <w:p w14:paraId="57C87DB6">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5.</w:t>
      </w:r>
      <w:r>
        <w:rPr>
          <w:rFonts w:hint="eastAsia" w:ascii="宋体" w:hAnsi="宋体" w:eastAsia="宋体" w:cs="宋体"/>
          <w:sz w:val="24"/>
          <w:lang w:val="en-US" w:eastAsia="zh-CN"/>
        </w:rPr>
        <w:t>飞防助剂：天然油脂类飞防专用助剂，按照1:100比例添加（与总药剂用量配比）。</w:t>
      </w:r>
    </w:p>
    <w:p w14:paraId="29984152">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（四）</w:t>
      </w:r>
      <w:r>
        <w:rPr>
          <w:rFonts w:hint="eastAsia" w:ascii="宋体" w:hAnsi="宋体" w:cs="宋体"/>
          <w:b/>
          <w:bCs/>
          <w:sz w:val="24"/>
          <w:lang w:val="en-US" w:eastAsia="zh-CN"/>
        </w:rPr>
        <w:t>服务</w:t>
      </w:r>
      <w:r>
        <w:rPr>
          <w:rFonts w:hint="eastAsia" w:ascii="宋体" w:hAnsi="宋体" w:eastAsia="宋体" w:cs="宋体"/>
          <w:b/>
          <w:bCs/>
          <w:sz w:val="24"/>
        </w:rPr>
        <w:t>要求：</w:t>
      </w:r>
    </w:p>
    <w:p w14:paraId="15276393">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1.</w:t>
      </w:r>
      <w:r>
        <w:rPr>
          <w:rFonts w:hint="eastAsia" w:ascii="宋体" w:hAnsi="宋体" w:eastAsia="宋体" w:cs="宋体"/>
          <w:sz w:val="24"/>
          <w:lang w:val="en-US" w:eastAsia="zh-CN"/>
        </w:rPr>
        <w:t>采用以机械为主的植保器械开展作业，作业能力需满足5万亩及以上地块15日历天内完成的要求，器械管理相关制度健全、管理规范；</w:t>
      </w:r>
    </w:p>
    <w:p w14:paraId="3778E56E">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2.</w:t>
      </w:r>
      <w:r>
        <w:rPr>
          <w:rFonts w:hint="eastAsia" w:ascii="宋体" w:hAnsi="宋体" w:eastAsia="宋体" w:cs="宋体"/>
          <w:sz w:val="24"/>
          <w:lang w:val="en-US" w:eastAsia="zh-CN"/>
        </w:rPr>
        <w:t>针对2026年小麦病虫特点及生长性状，病虫害防治效果达到90%以上，危害损失率控制在5%以内；</w:t>
      </w:r>
    </w:p>
    <w:p w14:paraId="250FA212">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lang w:val="en-US" w:eastAsia="zh-CN"/>
        </w:rPr>
        <w:t>选择的药剂需符合国家标准，三证齐全，高效低毒、安全环保，且登记防治对象适配小麦；</w:t>
      </w:r>
    </w:p>
    <w:p w14:paraId="30126097">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4.</w:t>
      </w:r>
      <w:r>
        <w:rPr>
          <w:rFonts w:hint="eastAsia" w:ascii="宋体" w:hAnsi="宋体" w:eastAsia="宋体" w:cs="宋体"/>
          <w:sz w:val="24"/>
          <w:lang w:val="en-US" w:eastAsia="zh-CN"/>
        </w:rPr>
        <w:t>严格在小麦穗期防治关键时期完成全部作业任</w:t>
      </w:r>
      <w:bookmarkStart w:id="3" w:name="_GoBack"/>
      <w:bookmarkEnd w:id="3"/>
      <w:r>
        <w:rPr>
          <w:rFonts w:hint="eastAsia" w:ascii="宋体" w:hAnsi="宋体" w:eastAsia="宋体" w:cs="宋体"/>
          <w:sz w:val="24"/>
          <w:lang w:val="en-US" w:eastAsia="zh-CN"/>
        </w:rPr>
        <w:t>务，确保总体防治效果达90%以上，危害损失率控制在5%以内。</w:t>
      </w:r>
    </w:p>
    <w:p w14:paraId="3F994C62">
      <w:pPr>
        <w:spacing w:line="360" w:lineRule="auto"/>
        <w:ind w:firstLine="482" w:firstLineChars="200"/>
        <w:rPr>
          <w:rFonts w:hint="eastAsia" w:ascii="宋体" w:hAnsi="宋体" w:eastAsia="宋体" w:cs="宋体"/>
          <w:b/>
          <w:bCs/>
          <w:sz w:val="24"/>
        </w:rPr>
      </w:pPr>
      <w:r>
        <w:rPr>
          <w:rFonts w:hint="eastAsia" w:ascii="宋体" w:hAnsi="宋体" w:cs="宋体"/>
          <w:b/>
          <w:bCs/>
          <w:sz w:val="24"/>
          <w:lang w:val="en-US" w:eastAsia="zh-CN"/>
        </w:rPr>
        <w:t>三</w:t>
      </w:r>
      <w:r>
        <w:rPr>
          <w:rFonts w:hint="eastAsia" w:ascii="宋体" w:hAnsi="宋体" w:eastAsia="宋体" w:cs="宋体"/>
          <w:b/>
          <w:bCs/>
          <w:sz w:val="24"/>
        </w:rPr>
        <w:t>、合同价款</w:t>
      </w:r>
      <w:bookmarkEnd w:id="0"/>
    </w:p>
    <w:p w14:paraId="1CD509E0">
      <w:pPr>
        <w:spacing w:line="360" w:lineRule="auto"/>
        <w:ind w:firstLine="482" w:firstLineChars="200"/>
        <w:rPr>
          <w:rFonts w:hint="eastAsia" w:ascii="宋体" w:hAnsi="宋体" w:cs="宋体"/>
          <w:b/>
          <w:bCs/>
          <w:sz w:val="24"/>
          <w:highlight w:val="none"/>
          <w:lang w:eastAsia="zh-CN"/>
        </w:rPr>
      </w:pPr>
      <w:r>
        <w:rPr>
          <w:rFonts w:hint="eastAsia" w:ascii="宋体" w:hAnsi="宋体" w:eastAsia="宋体" w:cs="宋体"/>
          <w:b/>
          <w:bCs/>
          <w:sz w:val="24"/>
          <w:highlight w:val="none"/>
        </w:rPr>
        <w:t>（一）合同价款</w:t>
      </w:r>
      <w:r>
        <w:rPr>
          <w:rFonts w:hint="eastAsia" w:ascii="宋体" w:hAnsi="宋体" w:cs="宋体"/>
          <w:b/>
          <w:bCs/>
          <w:sz w:val="24"/>
          <w:highlight w:val="none"/>
          <w:lang w:eastAsia="zh-CN"/>
        </w:rPr>
        <w:t>：</w:t>
      </w:r>
    </w:p>
    <w:p w14:paraId="4DB04F4F">
      <w:pPr>
        <w:pStyle w:val="4"/>
        <w:ind w:firstLine="482" w:firstLineChars="200"/>
        <w:rPr>
          <w:rFonts w:hint="default" w:ascii="宋体" w:hAnsi="宋体" w:eastAsia="宋体" w:cs="宋体"/>
          <w:b/>
          <w:bCs/>
          <w:color w:val="auto"/>
          <w:sz w:val="24"/>
          <w:highlight w:val="none"/>
          <w:u w:val="single"/>
          <w:lang w:val="en-US"/>
        </w:rPr>
      </w:pPr>
      <w:r>
        <w:rPr>
          <w:rFonts w:hint="eastAsia" w:ascii="宋体" w:hAnsi="宋体" w:cs="宋体"/>
          <w:b/>
          <w:bCs/>
          <w:color w:val="auto"/>
          <w:sz w:val="24"/>
          <w:highlight w:val="none"/>
          <w:lang w:val="en-US" w:eastAsia="zh-CN"/>
        </w:rPr>
        <w:t>总价：</w:t>
      </w:r>
      <w:r>
        <w:rPr>
          <w:rFonts w:hint="eastAsia" w:ascii="宋体" w:hAnsi="宋体" w:eastAsia="宋体" w:cs="宋体"/>
          <w:b/>
          <w:bCs/>
          <w:color w:val="auto"/>
          <w:sz w:val="24"/>
          <w:highlight w:val="none"/>
        </w:rPr>
        <w:t>人民币（大写）</w:t>
      </w:r>
      <w:r>
        <w:rPr>
          <w:rFonts w:hint="eastAsia" w:ascii="宋体" w:hAnsi="宋体" w:cs="宋体"/>
          <w:b/>
          <w:bCs/>
          <w:color w:val="auto"/>
          <w:sz w:val="24"/>
          <w:highlight w:val="none"/>
          <w:u w:val="single"/>
          <w:lang w:val="en-US" w:eastAsia="zh-CN"/>
        </w:rPr>
        <w:t>壹佰贰拾万元整</w:t>
      </w:r>
      <w:r>
        <w:rPr>
          <w:rFonts w:hint="eastAsia" w:ascii="宋体" w:hAnsi="宋体" w:eastAsia="宋体" w:cs="宋体"/>
          <w:b/>
          <w:bCs/>
          <w:color w:val="auto"/>
          <w:sz w:val="24"/>
          <w:highlight w:val="none"/>
        </w:rPr>
        <w:t>（￥</w:t>
      </w:r>
      <w:r>
        <w:rPr>
          <w:rFonts w:hint="eastAsia" w:ascii="宋体" w:hAnsi="宋体" w:cs="宋体"/>
          <w:b/>
          <w:bCs/>
          <w:color w:val="auto"/>
          <w:sz w:val="24"/>
          <w:highlight w:val="none"/>
          <w:u w:val="single"/>
          <w:lang w:val="en-US" w:eastAsia="zh-CN"/>
        </w:rPr>
        <w:t>1200000.00元</w:t>
      </w:r>
      <w:r>
        <w:rPr>
          <w:rFonts w:hint="eastAsia" w:ascii="宋体" w:hAnsi="宋体" w:eastAsia="宋体" w:cs="宋体"/>
          <w:b/>
          <w:bCs/>
          <w:color w:val="auto"/>
          <w:sz w:val="24"/>
          <w:highlight w:val="none"/>
        </w:rPr>
        <w:t>）</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成交</w:t>
      </w:r>
      <w:r>
        <w:rPr>
          <w:rFonts w:hint="eastAsia" w:ascii="宋体" w:hAnsi="宋体" w:eastAsia="宋体" w:cs="宋体"/>
          <w:b/>
          <w:bCs/>
          <w:color w:val="auto"/>
          <w:kern w:val="2"/>
          <w:sz w:val="24"/>
          <w:szCs w:val="24"/>
          <w:highlight w:val="none"/>
          <w:lang w:val="en-US" w:eastAsia="zh-CN" w:bidi="ar-SA"/>
        </w:rPr>
        <w:t>单价：</w:t>
      </w:r>
      <w:r>
        <w:rPr>
          <w:rFonts w:hint="eastAsia" w:ascii="宋体" w:hAnsi="宋体" w:cs="宋体"/>
          <w:b/>
          <w:bCs/>
          <w:color w:val="auto"/>
          <w:kern w:val="2"/>
          <w:sz w:val="24"/>
          <w:szCs w:val="24"/>
          <w:highlight w:val="none"/>
          <w:u w:val="single"/>
          <w:lang w:val="en-US" w:eastAsia="zh-CN" w:bidi="ar-SA"/>
        </w:rPr>
        <w:t xml:space="preserve">       </w:t>
      </w:r>
      <w:r>
        <w:rPr>
          <w:rFonts w:hint="eastAsia" w:ascii="宋体" w:hAnsi="宋体" w:cs="宋体"/>
          <w:b/>
          <w:bCs/>
          <w:color w:val="auto"/>
          <w:kern w:val="2"/>
          <w:sz w:val="24"/>
          <w:szCs w:val="24"/>
          <w:highlight w:val="none"/>
          <w:u w:val="none"/>
          <w:lang w:val="en-US" w:eastAsia="zh-CN" w:bidi="ar-SA"/>
        </w:rPr>
        <w:t>元/亩。</w:t>
      </w:r>
    </w:p>
    <w:p w14:paraId="15EA7A0A">
      <w:pPr>
        <w:spacing w:line="360" w:lineRule="auto"/>
        <w:ind w:firstLine="482" w:firstLineChars="200"/>
        <w:rPr>
          <w:rFonts w:hint="eastAsia" w:ascii="宋体" w:hAnsi="宋体" w:eastAsia="宋体" w:cs="宋体"/>
          <w:sz w:val="24"/>
          <w:lang w:eastAsia="zh-CN"/>
        </w:rPr>
      </w:pPr>
      <w:r>
        <w:rPr>
          <w:rFonts w:hint="eastAsia" w:ascii="宋体" w:hAnsi="宋体" w:eastAsia="宋体" w:cs="宋体"/>
          <w:b/>
          <w:bCs/>
          <w:sz w:val="24"/>
        </w:rPr>
        <w:t>（二）</w:t>
      </w:r>
      <w:r>
        <w:rPr>
          <w:rFonts w:hint="eastAsia" w:ascii="宋体" w:hAnsi="宋体" w:cs="宋体"/>
          <w:b/>
          <w:bCs/>
          <w:sz w:val="24"/>
          <w:lang w:val="en-US" w:eastAsia="zh-CN"/>
        </w:rPr>
        <w:t>费用范围：</w:t>
      </w:r>
      <w:r>
        <w:rPr>
          <w:rFonts w:hint="eastAsia" w:ascii="宋体" w:hAnsi="宋体" w:cs="宋体"/>
          <w:b w:val="0"/>
          <w:bCs w:val="0"/>
          <w:sz w:val="24"/>
          <w:lang w:val="en-US" w:eastAsia="zh-CN"/>
        </w:rPr>
        <w:t>合同总价及</w:t>
      </w:r>
      <w:r>
        <w:rPr>
          <w:rFonts w:hint="eastAsia" w:ascii="宋体" w:hAnsi="宋体" w:cs="宋体"/>
          <w:sz w:val="24"/>
          <w:lang w:val="en-US" w:eastAsia="zh-CN"/>
        </w:rPr>
        <w:t>成交单价</w:t>
      </w:r>
      <w:r>
        <w:rPr>
          <w:rFonts w:hint="eastAsia" w:ascii="宋体" w:hAnsi="宋体" w:eastAsia="宋体" w:cs="宋体"/>
          <w:sz w:val="24"/>
        </w:rPr>
        <w:t>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的药剂费、人工费、防治费、验收费、管理费、保险费、磋商文件明示及暗示所有风险等与本项目有关的所有费用，服务期内采购人不再增加任何费用。</w:t>
      </w:r>
    </w:p>
    <w:p w14:paraId="1E1EE16E">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（三）</w:t>
      </w:r>
      <w:r>
        <w:rPr>
          <w:rFonts w:hint="eastAsia" w:ascii="宋体" w:hAnsi="宋体" w:cs="宋体"/>
          <w:b/>
          <w:bCs/>
          <w:sz w:val="24"/>
          <w:lang w:val="en-US" w:eastAsia="zh-CN"/>
        </w:rPr>
        <w:t>合同总价及成交单价</w:t>
      </w:r>
      <w:r>
        <w:rPr>
          <w:rFonts w:hint="eastAsia" w:ascii="宋体" w:hAnsi="宋体" w:eastAsia="宋体" w:cs="宋体"/>
          <w:b/>
          <w:bCs/>
          <w:sz w:val="24"/>
        </w:rPr>
        <w:t>一次性包死，</w:t>
      </w:r>
      <w:r>
        <w:rPr>
          <w:rFonts w:hint="eastAsia" w:ascii="宋体" w:hAnsi="宋体" w:eastAsia="宋体" w:cs="宋体"/>
          <w:sz w:val="24"/>
        </w:rPr>
        <w:t>不受市场价格变化因素的影响。</w:t>
      </w:r>
      <w:bookmarkStart w:id="1" w:name="_Toc5628"/>
    </w:p>
    <w:p w14:paraId="51AF33F1">
      <w:pPr>
        <w:spacing w:line="360" w:lineRule="auto"/>
        <w:ind w:firstLine="482" w:firstLineChars="200"/>
        <w:rPr>
          <w:rFonts w:hint="eastAsia" w:ascii="宋体" w:hAnsi="宋体" w:eastAsia="宋体" w:cs="宋体"/>
          <w:b/>
          <w:sz w:val="24"/>
        </w:rPr>
      </w:pPr>
      <w:r>
        <w:rPr>
          <w:rFonts w:hint="eastAsia" w:ascii="宋体" w:hAnsi="宋体" w:cs="宋体"/>
          <w:b/>
          <w:sz w:val="24"/>
          <w:lang w:val="en-US" w:eastAsia="zh-CN"/>
        </w:rPr>
        <w:t>四、</w:t>
      </w:r>
      <w:r>
        <w:rPr>
          <w:rFonts w:hint="eastAsia" w:ascii="宋体" w:hAnsi="宋体" w:eastAsia="宋体" w:cs="宋体"/>
          <w:b/>
          <w:sz w:val="24"/>
        </w:rPr>
        <w:t>服务期限与地点</w:t>
      </w:r>
    </w:p>
    <w:p w14:paraId="444E8E8E">
      <w:pPr>
        <w:spacing w:line="360" w:lineRule="auto"/>
        <w:ind w:firstLine="482" w:firstLineChars="200"/>
        <w:rPr>
          <w:rFonts w:hint="eastAsia" w:ascii="宋体" w:hAnsi="宋体" w:eastAsia="宋体" w:cs="宋体"/>
          <w:b w:val="0"/>
          <w:bCs/>
          <w:sz w:val="24"/>
        </w:rPr>
      </w:pPr>
      <w:r>
        <w:rPr>
          <w:rFonts w:hint="eastAsia" w:ascii="宋体" w:hAnsi="宋体" w:eastAsia="宋体" w:cs="宋体"/>
          <w:b/>
          <w:sz w:val="24"/>
        </w:rPr>
        <w:t>（一）服务期限：</w:t>
      </w:r>
      <w:r>
        <w:rPr>
          <w:rFonts w:hint="eastAsia" w:ascii="宋体" w:hAnsi="宋体" w:eastAsia="宋体" w:cs="宋体"/>
          <w:b w:val="0"/>
          <w:bCs/>
          <w:sz w:val="24"/>
        </w:rPr>
        <w:t>自合同签订之日起15日历日内完成全部防治作业。</w:t>
      </w:r>
    </w:p>
    <w:p w14:paraId="1D7C5459">
      <w:pPr>
        <w:spacing w:line="360" w:lineRule="auto"/>
        <w:ind w:firstLine="482" w:firstLineChars="200"/>
        <w:rPr>
          <w:rFonts w:hint="eastAsia" w:ascii="宋体" w:hAnsi="宋体" w:eastAsia="宋体" w:cs="宋体"/>
          <w:b w:val="0"/>
          <w:bCs/>
          <w:sz w:val="24"/>
        </w:rPr>
      </w:pPr>
      <w:r>
        <w:rPr>
          <w:rFonts w:hint="eastAsia" w:ascii="宋体" w:hAnsi="宋体" w:eastAsia="宋体" w:cs="宋体"/>
          <w:b/>
          <w:sz w:val="24"/>
        </w:rPr>
        <w:t>（二）服务地点：</w:t>
      </w:r>
      <w:r>
        <w:rPr>
          <w:rFonts w:hint="eastAsia" w:ascii="宋体" w:hAnsi="宋体" w:eastAsia="宋体" w:cs="宋体"/>
          <w:b w:val="0"/>
          <w:bCs/>
          <w:sz w:val="24"/>
        </w:rPr>
        <w:t>采购人指定地点。</w:t>
      </w:r>
    </w:p>
    <w:p w14:paraId="2F69BAF8">
      <w:pPr>
        <w:spacing w:line="360" w:lineRule="auto"/>
        <w:ind w:firstLine="482" w:firstLineChars="200"/>
        <w:rPr>
          <w:rFonts w:hint="eastAsia" w:ascii="宋体" w:hAnsi="宋体" w:eastAsia="宋体" w:cs="宋体"/>
          <w:b/>
          <w:sz w:val="24"/>
        </w:rPr>
      </w:pPr>
      <w:r>
        <w:rPr>
          <w:rFonts w:hint="eastAsia" w:ascii="宋体" w:hAnsi="宋体" w:cs="宋体"/>
          <w:b/>
          <w:sz w:val="24"/>
          <w:lang w:val="en-US" w:eastAsia="zh-CN"/>
        </w:rPr>
        <w:t>五</w:t>
      </w:r>
      <w:r>
        <w:rPr>
          <w:rFonts w:hint="eastAsia" w:ascii="宋体" w:hAnsi="宋体" w:eastAsia="宋体" w:cs="宋体"/>
          <w:b/>
          <w:sz w:val="24"/>
        </w:rPr>
        <w:t>、款项结算</w:t>
      </w:r>
      <w:bookmarkEnd w:id="1"/>
    </w:p>
    <w:p w14:paraId="43733357">
      <w:pPr>
        <w:widowControl/>
        <w:tabs>
          <w:tab w:val="left" w:pos="0"/>
          <w:tab w:val="left" w:pos="437"/>
          <w:tab w:val="left" w:pos="1311"/>
        </w:tabs>
        <w:adjustRightInd w:val="0"/>
        <w:snapToGrid w:val="0"/>
        <w:spacing w:line="360" w:lineRule="auto"/>
        <w:ind w:firstLine="482" w:firstLineChars="200"/>
        <w:jc w:val="left"/>
        <w:rPr>
          <w:rFonts w:hint="default" w:ascii="宋体" w:hAnsi="宋体" w:eastAsia="宋体" w:cs="宋体"/>
          <w:b/>
          <w:bCs/>
          <w:kern w:val="0"/>
          <w:sz w:val="24"/>
          <w:szCs w:val="21"/>
          <w:lang w:val="en-US" w:eastAsia="zh-CN"/>
        </w:rPr>
      </w:pPr>
      <w:r>
        <w:rPr>
          <w:rFonts w:hint="eastAsia" w:ascii="宋体" w:hAnsi="宋体" w:eastAsia="宋体" w:cs="宋体"/>
          <w:b/>
          <w:bCs/>
          <w:kern w:val="0"/>
          <w:sz w:val="24"/>
          <w:szCs w:val="21"/>
        </w:rPr>
        <w:t>（一）</w:t>
      </w:r>
      <w:r>
        <w:rPr>
          <w:rFonts w:hint="eastAsia" w:ascii="宋体" w:hAnsi="宋体" w:cs="宋体"/>
          <w:b/>
          <w:bCs/>
          <w:kern w:val="0"/>
          <w:sz w:val="24"/>
          <w:szCs w:val="21"/>
          <w:lang w:val="en-US" w:eastAsia="zh-CN"/>
        </w:rPr>
        <w:t>付款方式</w:t>
      </w:r>
    </w:p>
    <w:p w14:paraId="6A69B037">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bCs/>
          <w:kern w:val="0"/>
          <w:sz w:val="24"/>
          <w:szCs w:val="21"/>
          <w:lang w:val="en-US" w:eastAsia="zh-CN"/>
        </w:rPr>
        <w:t>1.预付款</w:t>
      </w:r>
      <w:r>
        <w:rPr>
          <w:rFonts w:hint="eastAsia" w:ascii="宋体" w:hAnsi="宋体" w:eastAsia="宋体" w:cs="宋体"/>
          <w:b/>
          <w:bCs/>
          <w:kern w:val="0"/>
          <w:sz w:val="24"/>
          <w:szCs w:val="21"/>
          <w:highlight w:val="none"/>
        </w:rPr>
        <w:t>：</w:t>
      </w:r>
      <w:r>
        <w:rPr>
          <w:rFonts w:hint="eastAsia" w:ascii="宋体" w:hAnsi="宋体" w:eastAsia="宋体" w:cs="宋体"/>
          <w:b w:val="0"/>
          <w:bCs w:val="0"/>
          <w:color w:val="auto"/>
          <w:kern w:val="2"/>
          <w:sz w:val="24"/>
          <w:szCs w:val="24"/>
          <w:highlight w:val="none"/>
          <w:lang w:val="en-US" w:eastAsia="zh-CN" w:bidi="ar-SA"/>
        </w:rPr>
        <w:t>合同签订后支付预付款，达到付款条件起15日内，支付合同总金额的40.00%；</w:t>
      </w:r>
    </w:p>
    <w:p w14:paraId="61EE94BE">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2.尾款：</w:t>
      </w:r>
      <w:r>
        <w:rPr>
          <w:rFonts w:hint="eastAsia" w:ascii="宋体" w:hAnsi="宋体" w:eastAsia="宋体" w:cs="宋体"/>
          <w:b w:val="0"/>
          <w:bCs w:val="0"/>
          <w:color w:val="auto"/>
          <w:kern w:val="2"/>
          <w:sz w:val="24"/>
          <w:szCs w:val="24"/>
          <w:highlight w:val="none"/>
          <w:lang w:val="en-US" w:eastAsia="zh-CN" w:bidi="ar-SA"/>
        </w:rPr>
        <w:t>最终防治成果经采购人验收合格，无争议问题。采购人可以向供应商增加服务内容，但费用不再增加，达到付款条件起15日内，支付合同总金额的60.00%。</w:t>
      </w:r>
    </w:p>
    <w:p w14:paraId="4E9A57AF">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kern w:val="0"/>
          <w:sz w:val="24"/>
          <w:szCs w:val="21"/>
        </w:rPr>
      </w:pPr>
      <w:r>
        <w:rPr>
          <w:rFonts w:hint="eastAsia" w:ascii="宋体" w:hAnsi="宋体" w:eastAsia="宋体" w:cs="宋体"/>
          <w:b/>
          <w:bCs/>
          <w:kern w:val="0"/>
          <w:sz w:val="24"/>
          <w:szCs w:val="21"/>
        </w:rPr>
        <w:t>（</w:t>
      </w:r>
      <w:r>
        <w:rPr>
          <w:rFonts w:hint="eastAsia" w:ascii="宋体" w:hAnsi="宋体" w:eastAsia="宋体" w:cs="宋体"/>
          <w:b/>
          <w:bCs/>
          <w:kern w:val="0"/>
          <w:sz w:val="24"/>
          <w:szCs w:val="21"/>
          <w:lang w:val="en-US" w:eastAsia="zh-CN"/>
        </w:rPr>
        <w:t>二</w:t>
      </w:r>
      <w:r>
        <w:rPr>
          <w:rFonts w:hint="eastAsia" w:ascii="宋体" w:hAnsi="宋体" w:eastAsia="宋体" w:cs="宋体"/>
          <w:b/>
          <w:bCs/>
          <w:kern w:val="0"/>
          <w:sz w:val="24"/>
          <w:szCs w:val="21"/>
        </w:rPr>
        <w:t>）</w:t>
      </w:r>
      <w:r>
        <w:rPr>
          <w:rFonts w:hint="eastAsia" w:ascii="宋体" w:hAnsi="宋体" w:eastAsia="宋体" w:cs="宋体"/>
          <w:b/>
          <w:bCs/>
          <w:kern w:val="0"/>
          <w:sz w:val="24"/>
          <w:szCs w:val="21"/>
          <w:lang w:val="en-US" w:eastAsia="zh-CN"/>
        </w:rPr>
        <w:t>结算方式</w:t>
      </w:r>
      <w:r>
        <w:rPr>
          <w:rFonts w:hint="eastAsia" w:ascii="宋体" w:hAnsi="宋体" w:eastAsia="宋体" w:cs="宋体"/>
          <w:kern w:val="0"/>
          <w:sz w:val="24"/>
          <w:szCs w:val="21"/>
        </w:rPr>
        <w:t>：银行转账。</w:t>
      </w:r>
    </w:p>
    <w:p w14:paraId="783D24A1">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kern w:val="0"/>
          <w:sz w:val="24"/>
          <w:szCs w:val="21"/>
          <w:lang w:eastAsia="zh-CN"/>
        </w:rPr>
      </w:pPr>
      <w:r>
        <w:rPr>
          <w:rFonts w:hint="eastAsia" w:ascii="宋体" w:hAnsi="宋体" w:eastAsia="宋体" w:cs="宋体"/>
          <w:b/>
          <w:bCs/>
          <w:kern w:val="0"/>
          <w:sz w:val="24"/>
          <w:szCs w:val="21"/>
        </w:rPr>
        <w:t>（</w:t>
      </w:r>
      <w:r>
        <w:rPr>
          <w:rFonts w:hint="eastAsia" w:ascii="宋体" w:hAnsi="宋体" w:eastAsia="宋体" w:cs="宋体"/>
          <w:b/>
          <w:bCs/>
          <w:kern w:val="0"/>
          <w:sz w:val="24"/>
          <w:szCs w:val="21"/>
          <w:lang w:val="en-US" w:eastAsia="zh-CN"/>
        </w:rPr>
        <w:t>三</w:t>
      </w:r>
      <w:r>
        <w:rPr>
          <w:rFonts w:hint="eastAsia" w:ascii="宋体" w:hAnsi="宋体" w:eastAsia="宋体" w:cs="宋体"/>
          <w:b/>
          <w:bCs/>
          <w:kern w:val="0"/>
          <w:sz w:val="24"/>
          <w:szCs w:val="21"/>
        </w:rPr>
        <w:t>）</w:t>
      </w:r>
      <w:r>
        <w:rPr>
          <w:rFonts w:hint="eastAsia" w:ascii="宋体" w:hAnsi="宋体" w:eastAsia="宋体" w:cs="宋体"/>
          <w:b/>
          <w:bCs/>
          <w:kern w:val="0"/>
          <w:sz w:val="24"/>
          <w:szCs w:val="21"/>
          <w:lang w:val="en-US" w:eastAsia="zh-CN"/>
        </w:rPr>
        <w:t>发票开具：</w:t>
      </w:r>
      <w:r>
        <w:rPr>
          <w:rFonts w:hint="eastAsia" w:ascii="宋体" w:hAnsi="宋体" w:eastAsia="宋体" w:cs="宋体"/>
          <w:kern w:val="0"/>
          <w:sz w:val="24"/>
          <w:szCs w:val="21"/>
        </w:rPr>
        <w:t>供应商在接受付款前，应开具等额合规的增值税发票给采购人</w:t>
      </w:r>
      <w:bookmarkStart w:id="2" w:name="_Toc12029"/>
      <w:r>
        <w:rPr>
          <w:rFonts w:hint="eastAsia" w:ascii="宋体" w:hAnsi="宋体" w:cs="宋体"/>
          <w:kern w:val="0"/>
          <w:sz w:val="24"/>
          <w:szCs w:val="21"/>
          <w:lang w:eastAsia="zh-CN"/>
        </w:rPr>
        <w:t>。</w:t>
      </w:r>
    </w:p>
    <w:bookmarkEnd w:id="2"/>
    <w:p w14:paraId="61D94B33">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六、双方权利与义务</w:t>
      </w:r>
    </w:p>
    <w:p w14:paraId="6182834B">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（一）采购人（甲方）权利与义务</w:t>
      </w:r>
    </w:p>
    <w:p w14:paraId="43AFB18A">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1.权利：</w:t>
      </w:r>
    </w:p>
    <w:p w14:paraId="63D7522C">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（1）有权向供应商询问工作进展情况，并提出意见和建议。</w:t>
      </w:r>
    </w:p>
    <w:p w14:paraId="63820975">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（2）有权要求供应商按期到项目现场解决争议。</w:t>
      </w:r>
    </w:p>
    <w:p w14:paraId="79B606FE">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（3）有权对供应商的专业人员履职情况进行监督，如发现不按合同履行或与第三人串通给采购人造成经济损失的，有权要求更换专业人员，直至终止合同并要求供应商承担相应的赔偿责任。</w:t>
      </w:r>
    </w:p>
    <w:p w14:paraId="3A99E5DE">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（4）有权委托第三方检测机构对药剂质量、防治效果进行抽检，费用由供应商承担（如抽检不合格）。</w:t>
      </w:r>
    </w:p>
    <w:p w14:paraId="72E3EA4C">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2.义务：</w:t>
      </w:r>
    </w:p>
    <w:p w14:paraId="6CCCBDF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（1）应当在约定的时间内，向供应商提供与本项目实施有关的资料。</w:t>
      </w:r>
    </w:p>
    <w:p w14:paraId="005B90A4">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（2）按合同约定及时支付合同款项。</w:t>
      </w:r>
    </w:p>
    <w:p w14:paraId="0030E4C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（3）组织相关部门对项目进行阶段性验收和最终验收。</w:t>
      </w:r>
    </w:p>
    <w:p w14:paraId="6B8EE740">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（二）供应商（乙方）权利与义务</w:t>
      </w:r>
    </w:p>
    <w:p w14:paraId="3E859B70">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1.权利：</w:t>
      </w:r>
    </w:p>
    <w:p w14:paraId="773E3485">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（1）在项目实施过程中，如采购人提供的资料不明确时可向采购人提出书面报告。</w:t>
      </w:r>
    </w:p>
    <w:p w14:paraId="5417B337">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（2）有到项目现场勘察的权利。</w:t>
      </w:r>
    </w:p>
    <w:p w14:paraId="7092DE78">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2.义务：</w:t>
      </w:r>
    </w:p>
    <w:p w14:paraId="4999262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（1）</w:t>
      </w:r>
      <w:r>
        <w:rPr>
          <w:rFonts w:hint="eastAsia" w:ascii="宋体" w:hAnsi="宋体" w:eastAsia="宋体" w:cs="宋体"/>
          <w:b w:val="0"/>
          <w:bCs w:val="0"/>
          <w:kern w:val="0"/>
          <w:sz w:val="24"/>
          <w:szCs w:val="21"/>
          <w:highlight w:val="none"/>
          <w:lang w:val="en-US" w:eastAsia="zh-CN"/>
        </w:rPr>
        <w:t>人员配备：派驻项目负责人一名、技术负责人一名，对作业过程中作业进度、服务质量、作业人员管理进行总协调，确保技术措施的落实，按时参加采购人组织的相关会议和活动，服从采购人的工作制度和工作规范。</w:t>
      </w:r>
    </w:p>
    <w:p w14:paraId="46A4163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（2）</w:t>
      </w:r>
      <w:r>
        <w:rPr>
          <w:rFonts w:hint="eastAsia" w:ascii="宋体" w:hAnsi="宋体" w:eastAsia="宋体" w:cs="宋体"/>
          <w:b w:val="0"/>
          <w:bCs w:val="0"/>
          <w:kern w:val="0"/>
          <w:sz w:val="24"/>
          <w:szCs w:val="21"/>
          <w:highlight w:val="none"/>
          <w:lang w:val="en-US" w:eastAsia="zh-CN"/>
        </w:rPr>
        <w:t>作业管理：向采购人提供项目作业计划和安全责任协议，内容包括管理机构的设置、各主要岗位的技术和管理员名单、资质、联系方式及各工种技术工人的安排、项目实施进度安排、技术措施等</w:t>
      </w:r>
      <w:r>
        <w:rPr>
          <w:rFonts w:hint="eastAsia" w:ascii="宋体" w:hAnsi="宋体" w:cs="宋体"/>
          <w:b w:val="0"/>
          <w:bCs w:val="0"/>
          <w:kern w:val="0"/>
          <w:sz w:val="24"/>
          <w:szCs w:val="21"/>
          <w:highlight w:val="none"/>
          <w:lang w:val="en-US" w:eastAsia="zh-CN"/>
        </w:rPr>
        <w:t>状况</w:t>
      </w:r>
      <w:r>
        <w:rPr>
          <w:rFonts w:hint="eastAsia" w:ascii="宋体" w:hAnsi="宋体" w:eastAsia="宋体" w:cs="宋体"/>
          <w:b w:val="0"/>
          <w:bCs w:val="0"/>
          <w:kern w:val="0"/>
          <w:sz w:val="24"/>
          <w:szCs w:val="21"/>
          <w:highlight w:val="none"/>
          <w:lang w:val="en-US" w:eastAsia="zh-CN"/>
        </w:rPr>
        <w:t>。</w:t>
      </w:r>
    </w:p>
    <w:p w14:paraId="442DE53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highlight w:val="none"/>
          <w:lang w:val="en-US" w:eastAsia="zh-CN"/>
        </w:rPr>
      </w:pPr>
      <w:r>
        <w:rPr>
          <w:rFonts w:hint="eastAsia" w:ascii="宋体" w:hAnsi="宋体" w:eastAsia="宋体" w:cs="宋体"/>
          <w:b w:val="0"/>
          <w:bCs w:val="0"/>
          <w:kern w:val="0"/>
          <w:sz w:val="24"/>
          <w:szCs w:val="21"/>
          <w:highlight w:val="none"/>
          <w:lang w:val="en-US" w:eastAsia="zh-CN"/>
        </w:rPr>
        <w:t>（3）过程记录：全程记录作业过程，包括作业时间、作业区域、药剂使用情况、气象条件、作业轨迹图等，形成完整的作业过程性资料（含作业记录、药剂使用记录等）。</w:t>
      </w:r>
    </w:p>
    <w:p w14:paraId="034913E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highlight w:val="none"/>
          <w:lang w:val="en-US" w:eastAsia="zh-CN"/>
        </w:rPr>
      </w:pPr>
      <w:r>
        <w:rPr>
          <w:rFonts w:hint="eastAsia" w:ascii="宋体" w:hAnsi="宋体" w:eastAsia="宋体" w:cs="宋体"/>
          <w:b w:val="0"/>
          <w:bCs w:val="0"/>
          <w:kern w:val="0"/>
          <w:sz w:val="24"/>
          <w:szCs w:val="21"/>
          <w:highlight w:val="none"/>
          <w:lang w:val="en-US" w:eastAsia="zh-CN"/>
        </w:rPr>
        <w:t>（4）药剂管理：确保所用农药“三证”齐全，配合采购人进行药剂抽检，并提供所用药剂批次的相关质量证明文件，严格按照本合同约定的药剂种类、规格、用量使用。</w:t>
      </w:r>
    </w:p>
    <w:p w14:paraId="59CE6F5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highlight w:val="none"/>
          <w:lang w:val="en-US" w:eastAsia="zh-CN"/>
        </w:rPr>
      </w:pPr>
      <w:r>
        <w:rPr>
          <w:rFonts w:hint="eastAsia" w:ascii="宋体" w:hAnsi="宋体" w:eastAsia="宋体" w:cs="宋体"/>
          <w:b w:val="0"/>
          <w:bCs w:val="0"/>
          <w:kern w:val="0"/>
          <w:sz w:val="24"/>
          <w:szCs w:val="21"/>
          <w:highlight w:val="none"/>
          <w:lang w:val="en-US" w:eastAsia="zh-CN"/>
        </w:rPr>
        <w:t>（5）安全责任：负责作业现场的安全管理，为工作人员购买足额的人身意外伤害保险。作业过程中发生的一切安全事故（包括但不限于人员伤亡、财产损失、环境污染等），由供应商承担全部责任。</w:t>
      </w:r>
    </w:p>
    <w:p w14:paraId="58B1814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highlight w:val="none"/>
          <w:lang w:val="en-US" w:eastAsia="zh-CN"/>
        </w:rPr>
      </w:pPr>
      <w:r>
        <w:rPr>
          <w:rFonts w:hint="eastAsia" w:ascii="宋体" w:hAnsi="宋体" w:eastAsia="宋体" w:cs="宋体"/>
          <w:b w:val="0"/>
          <w:bCs w:val="0"/>
          <w:kern w:val="0"/>
          <w:sz w:val="24"/>
          <w:szCs w:val="21"/>
          <w:highlight w:val="none"/>
          <w:lang w:val="en-US" w:eastAsia="zh-CN"/>
        </w:rPr>
        <w:t>（6）应急响应：针对作业过程中可能出现的各类突发事件（如药剂泄漏、作业事故、防治效果不达标等），需制定完善的应急预案和应对措施，并向采购人作出明确、具体的书面承诺。</w:t>
      </w:r>
    </w:p>
    <w:p w14:paraId="0E5FD2D6">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highlight w:val="none"/>
          <w:lang w:val="en-US" w:eastAsia="zh-CN"/>
        </w:rPr>
      </w:pPr>
      <w:r>
        <w:rPr>
          <w:rFonts w:hint="eastAsia" w:ascii="宋体" w:hAnsi="宋体" w:eastAsia="宋体" w:cs="宋体"/>
          <w:b w:val="0"/>
          <w:bCs w:val="0"/>
          <w:kern w:val="0"/>
          <w:sz w:val="24"/>
          <w:szCs w:val="21"/>
          <w:highlight w:val="none"/>
          <w:lang w:val="en-US" w:eastAsia="zh-CN"/>
        </w:rPr>
        <w:t>（7）资料交付：服务完成后，供应商需向采购人提交施工作业过程性资料（含作业记录、药剂使用记录等）和防治效果报告，严格按照相关标准及采购人要求执行。。</w:t>
      </w:r>
    </w:p>
    <w:p w14:paraId="206E8D5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highlight w:val="none"/>
          <w:lang w:val="en-US" w:eastAsia="zh-CN"/>
        </w:rPr>
      </w:pPr>
      <w:r>
        <w:rPr>
          <w:rFonts w:hint="eastAsia" w:ascii="宋体" w:hAnsi="宋体" w:eastAsia="宋体" w:cs="宋体"/>
          <w:b w:val="0"/>
          <w:bCs w:val="0"/>
          <w:kern w:val="0"/>
          <w:sz w:val="24"/>
          <w:szCs w:val="21"/>
          <w:highlight w:val="none"/>
          <w:lang w:val="en-US" w:eastAsia="zh-CN"/>
        </w:rPr>
        <w:t>（8）配合验收：积极协助采购人及时组织召开检查验收、防治效果评价及防治竣工验收工作会议，配合完成验收相关工作。</w:t>
      </w:r>
    </w:p>
    <w:p w14:paraId="7BA91979">
      <w:pPr>
        <w:widowControl/>
        <w:tabs>
          <w:tab w:val="left" w:pos="0"/>
          <w:tab w:val="left" w:pos="437"/>
          <w:tab w:val="left" w:pos="1311"/>
        </w:tabs>
        <w:adjustRightInd w:val="0"/>
        <w:snapToGrid w:val="0"/>
        <w:spacing w:line="360" w:lineRule="auto"/>
        <w:ind w:firstLine="482" w:firstLineChars="200"/>
        <w:jc w:val="left"/>
        <w:rPr>
          <w:rFonts w:hint="default"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七、质保服务</w:t>
      </w:r>
    </w:p>
    <w:p w14:paraId="5FFB693D">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bCs/>
          <w:kern w:val="0"/>
          <w:sz w:val="24"/>
          <w:szCs w:val="21"/>
          <w:highlight w:val="none"/>
          <w:lang w:val="en-US" w:eastAsia="zh-CN"/>
        </w:rPr>
      </w:pPr>
      <w:r>
        <w:rPr>
          <w:rFonts w:ascii="宋体" w:hAnsi="宋体" w:eastAsia="宋体" w:cs="宋体"/>
          <w:kern w:val="0"/>
          <w:sz w:val="24"/>
          <w:szCs w:val="24"/>
          <w:lang w:val="en-US" w:eastAsia="zh-CN" w:bidi="ar"/>
        </w:rPr>
        <w:t>本次质保服务为涉及的病虫害防治效果、小麦因服务导致的药害问题以及因服务不到位引发的后续病害蔓延等问题。自项目验收合格之日起，至当季小麦收获完毕时止。在</w:t>
      </w:r>
      <w:r>
        <w:rPr>
          <w:rFonts w:hint="eastAsia" w:ascii="宋体" w:hAnsi="宋体" w:eastAsia="宋体" w:cs="宋体"/>
          <w:kern w:val="0"/>
          <w:sz w:val="24"/>
          <w:szCs w:val="24"/>
          <w:lang w:val="en-US" w:eastAsia="zh-CN" w:bidi="ar"/>
        </w:rPr>
        <w:t>质保</w:t>
      </w:r>
      <w:r>
        <w:rPr>
          <w:rFonts w:ascii="宋体" w:hAnsi="宋体" w:eastAsia="宋体" w:cs="宋体"/>
          <w:kern w:val="0"/>
          <w:sz w:val="24"/>
          <w:szCs w:val="24"/>
          <w:lang w:val="en-US" w:eastAsia="zh-CN" w:bidi="ar"/>
        </w:rPr>
        <w:t>期内，若因成交供应商使用的药剂质量、配比不当、作业方式错误等原因导致出现药害（如烧叶、生长受阻等）或病虫害防治效果明显下降（低于90%），成交供应商应免费提供补救服务（如补防、喷施解药等），并承担因此造成的减产等直接经济损失</w:t>
      </w:r>
      <w:r>
        <w:rPr>
          <w:rFonts w:hint="eastAsia" w:ascii="宋体" w:hAnsi="宋体" w:cs="宋体"/>
          <w:b w:val="0"/>
          <w:bCs w:val="0"/>
          <w:kern w:val="0"/>
          <w:sz w:val="24"/>
          <w:szCs w:val="21"/>
          <w:highlight w:val="none"/>
          <w:lang w:val="en-US" w:eastAsia="zh-CN"/>
        </w:rPr>
        <w:t>。</w:t>
      </w:r>
    </w:p>
    <w:p w14:paraId="4DBB9588">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八、验收</w:t>
      </w:r>
    </w:p>
    <w:p w14:paraId="44F756F6">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bCs/>
          <w:kern w:val="0"/>
          <w:sz w:val="24"/>
          <w:szCs w:val="21"/>
          <w:highlight w:val="none"/>
          <w:lang w:val="en-US" w:eastAsia="zh-CN"/>
        </w:rPr>
        <w:t>（一）验收组织：</w:t>
      </w:r>
      <w:r>
        <w:rPr>
          <w:rFonts w:hint="eastAsia" w:ascii="宋体" w:hAnsi="宋体" w:cs="宋体"/>
          <w:b w:val="0"/>
          <w:bCs w:val="0"/>
          <w:kern w:val="0"/>
          <w:sz w:val="24"/>
          <w:szCs w:val="21"/>
          <w:highlight w:val="none"/>
          <w:lang w:val="en-US" w:eastAsia="zh-CN"/>
        </w:rPr>
        <w:t>采购人负责组织成立验收小组，小组成员可包括采购人代表、相关技术专家、第三方检测机构人员及受益农户代表等。</w:t>
      </w:r>
    </w:p>
    <w:p w14:paraId="0A086B9B">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（二）验收时间：</w:t>
      </w:r>
      <w:r>
        <w:rPr>
          <w:rFonts w:hint="eastAsia" w:ascii="宋体" w:hAnsi="宋体" w:cs="宋体"/>
          <w:b w:val="0"/>
          <w:bCs w:val="0"/>
          <w:kern w:val="0"/>
          <w:sz w:val="24"/>
          <w:szCs w:val="21"/>
          <w:highlight w:val="none"/>
          <w:lang w:val="en-US" w:eastAsia="zh-CN"/>
        </w:rPr>
        <w:t>防治作业结束后7个工作日内组织验收。</w:t>
      </w:r>
    </w:p>
    <w:p w14:paraId="01E3040A">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（三）验收内容：</w:t>
      </w:r>
    </w:p>
    <w:p w14:paraId="54902080">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kern w:val="0"/>
          <w:sz w:val="24"/>
          <w:szCs w:val="24"/>
          <w:lang w:val="en-US" w:eastAsia="zh-CN" w:bidi="ar"/>
        </w:rPr>
      </w:pPr>
      <w:r>
        <w:rPr>
          <w:rFonts w:hint="eastAsia" w:ascii="宋体" w:hAnsi="宋体" w:cs="宋体"/>
          <w:b/>
          <w:bCs/>
          <w:kern w:val="0"/>
          <w:sz w:val="24"/>
          <w:szCs w:val="21"/>
          <w:highlight w:val="none"/>
          <w:lang w:val="en-US" w:eastAsia="zh-CN"/>
        </w:rPr>
        <w:t>1.技术验收：</w:t>
      </w:r>
      <w:r>
        <w:rPr>
          <w:rFonts w:ascii="宋体" w:hAnsi="宋体" w:eastAsia="宋体" w:cs="宋体"/>
          <w:kern w:val="0"/>
          <w:sz w:val="24"/>
          <w:szCs w:val="24"/>
          <w:lang w:val="en-US" w:eastAsia="zh-CN" w:bidi="ar"/>
        </w:rPr>
        <w:t>核查药剂“三证”是否</w:t>
      </w:r>
      <w:r>
        <w:rPr>
          <w:rFonts w:hint="eastAsia" w:ascii="宋体" w:hAnsi="宋体" w:eastAsia="宋体" w:cs="宋体"/>
          <w:kern w:val="0"/>
          <w:sz w:val="24"/>
          <w:szCs w:val="24"/>
          <w:lang w:val="en-US" w:eastAsia="zh-CN" w:bidi="ar"/>
        </w:rPr>
        <w:t>齐全</w:t>
      </w:r>
      <w:r>
        <w:rPr>
          <w:rFonts w:ascii="宋体" w:hAnsi="宋体" w:eastAsia="宋体" w:cs="宋体"/>
          <w:kern w:val="0"/>
          <w:sz w:val="24"/>
          <w:szCs w:val="24"/>
          <w:lang w:val="en-US" w:eastAsia="zh-CN" w:bidi="ar"/>
        </w:rPr>
        <w:t>有效、药剂种类及用量是否符合合同约定；通过田间抽样调查，检测病虫害防治效果，确保总体防效达到90%以上、危害损失率控制在5%以内；核查作业过程监控记录、气象条件记录、药剂使用记录等</w:t>
      </w:r>
      <w:r>
        <w:rPr>
          <w:rFonts w:hint="eastAsia" w:ascii="宋体" w:hAnsi="宋体" w:eastAsia="宋体" w:cs="宋体"/>
          <w:kern w:val="0"/>
          <w:sz w:val="24"/>
          <w:szCs w:val="24"/>
          <w:lang w:val="en-US" w:eastAsia="zh-CN" w:bidi="ar"/>
        </w:rPr>
        <w:t>。</w:t>
      </w:r>
    </w:p>
    <w:p w14:paraId="25D1866B">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bCs/>
          <w:kern w:val="0"/>
          <w:sz w:val="24"/>
          <w:szCs w:val="21"/>
          <w:highlight w:val="none"/>
          <w:lang w:val="en-US" w:eastAsia="zh-CN"/>
        </w:rPr>
        <w:t>2.商务验收：</w:t>
      </w:r>
      <w:r>
        <w:rPr>
          <w:rFonts w:hint="eastAsia" w:ascii="宋体" w:hAnsi="宋体" w:cs="宋体"/>
          <w:b w:val="0"/>
          <w:bCs w:val="0"/>
          <w:kern w:val="0"/>
          <w:sz w:val="24"/>
          <w:szCs w:val="21"/>
          <w:highlight w:val="none"/>
          <w:lang w:val="en-US" w:eastAsia="zh-CN"/>
        </w:rPr>
        <w:t>核验实际防治服务面积是否达到合同约定；核查是否在合同约定的15日历天内完成全部防治作业；核查是否提交了完整的作业过程性资料和防效报告。</w:t>
      </w:r>
    </w:p>
    <w:p w14:paraId="4D524BE3">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bCs/>
          <w:kern w:val="0"/>
          <w:sz w:val="24"/>
          <w:szCs w:val="21"/>
          <w:highlight w:val="none"/>
          <w:lang w:val="en-US" w:eastAsia="zh-CN"/>
        </w:rPr>
        <w:t>（四）验收标准：</w:t>
      </w:r>
      <w:r>
        <w:rPr>
          <w:rFonts w:ascii="宋体" w:hAnsi="宋体" w:eastAsia="宋体" w:cs="宋体"/>
          <w:kern w:val="0"/>
          <w:sz w:val="24"/>
          <w:szCs w:val="24"/>
          <w:lang w:val="en-US" w:eastAsia="zh-CN" w:bidi="ar"/>
        </w:rPr>
        <w:t>满足《农业社会化服务农作物病虫害防治服务质量要求》（GB/T 32980-2016）、《农业社会化服务农作物病虫害防治服务质量评价》（GB/T 33311-2016）、《农作物病虫害防治条例》及本合同约定的所有技术和服务要求</w:t>
      </w:r>
      <w:r>
        <w:rPr>
          <w:rFonts w:hint="eastAsia" w:ascii="宋体" w:hAnsi="宋体" w:cs="宋体"/>
          <w:b w:val="0"/>
          <w:bCs w:val="0"/>
          <w:kern w:val="0"/>
          <w:sz w:val="24"/>
          <w:szCs w:val="21"/>
          <w:highlight w:val="none"/>
          <w:lang w:val="en-US" w:eastAsia="zh-CN"/>
        </w:rPr>
        <w:t>。</w:t>
      </w:r>
    </w:p>
    <w:p w14:paraId="1BAAA7E0">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（五）验收结果处理：</w:t>
      </w:r>
    </w:p>
    <w:p w14:paraId="608D90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1.验收合格后，由验收小组出具验收报告，作为支付剩余款项的依据。</w:t>
      </w:r>
    </w:p>
    <w:p w14:paraId="0883281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2.验收发现存在未防、漏防或防治效果未达到90%要求的地块，采购人有权责令供应商在限期内组织补防，直至达到合同要求，补防产生的一切费用由供应商承担。</w:t>
      </w:r>
    </w:p>
    <w:p w14:paraId="1832ACBA">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eastAsia="宋体" w:cs="宋体"/>
          <w:kern w:val="0"/>
          <w:sz w:val="24"/>
          <w:szCs w:val="24"/>
          <w:lang w:val="en-US" w:eastAsia="zh-CN" w:bidi="ar"/>
        </w:rPr>
        <w:t>3.若补防后仍不合格，或供应商拒绝、拖延补防，采购人有权单方面解除合同，不予支付剩余款项，并要求供应商赔偿因此造成的全部损失；</w:t>
      </w:r>
      <w:r>
        <w:rPr>
          <w:rFonts w:ascii="宋体" w:hAnsi="宋体" w:eastAsia="宋体" w:cs="宋体"/>
          <w:kern w:val="0"/>
          <w:sz w:val="24"/>
          <w:szCs w:val="24"/>
          <w:lang w:val="en-US" w:eastAsia="zh-CN" w:bidi="ar"/>
        </w:rPr>
        <w:t>若因未防、漏防或防治不达标造成损失的，供应商需承担相应的法律责任及经济赔偿责任</w:t>
      </w:r>
      <w:r>
        <w:rPr>
          <w:rFonts w:hint="eastAsia" w:ascii="宋体" w:hAnsi="宋体" w:cs="宋体"/>
          <w:kern w:val="0"/>
          <w:sz w:val="24"/>
          <w:szCs w:val="24"/>
          <w:lang w:val="en-US" w:eastAsia="zh-CN" w:bidi="ar"/>
        </w:rPr>
        <w:t>。</w:t>
      </w:r>
    </w:p>
    <w:p w14:paraId="355805B8">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九、知识产权与保密</w:t>
      </w:r>
    </w:p>
    <w:p w14:paraId="7ABC15FE">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（一）知识产权：</w:t>
      </w:r>
    </w:p>
    <w:p w14:paraId="6CAADA67">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1.在本项目履行过程中，由供应商独立开发或完成的技术成果、作业方案、过程记录等文件，其知识产权归供应商所有，但采购人有权在本项目范围内无偿使用。</w:t>
      </w:r>
    </w:p>
    <w:p w14:paraId="6D0D9634">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2.若供应商在服务过程中使用了第三方技术或产品，应确保不侵犯第三方知识产权，并承担由此引发的全部法律责任。</w:t>
      </w:r>
    </w:p>
    <w:p w14:paraId="6F93AE8E">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3.采购人向供应商提供的技术资料、基础数据等信息，其知识产权归采购人所有，供应商不得用于本项目之外的任何目的。</w:t>
      </w:r>
    </w:p>
    <w:p w14:paraId="0ED9A4CE">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（二）保密义务：</w:t>
      </w:r>
    </w:p>
    <w:p w14:paraId="24F3F833">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1.供应商取得的所有原始技术资料在工作结束后交还采购人，不得对外泄露。</w:t>
      </w:r>
    </w:p>
    <w:p w14:paraId="083CEFE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2.相关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1D866DF4">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十、转让与分包</w:t>
      </w:r>
    </w:p>
    <w:p w14:paraId="01454B53">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（一）本合同范围的项目服务内容，应由供应商直接服务，不得转让他人。</w:t>
      </w:r>
    </w:p>
    <w:p w14:paraId="164183A7">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（二）如有转让和未经采购人同意的分包行为，采购人有权解除合同，并追究供应商的违约责任。</w:t>
      </w:r>
    </w:p>
    <w:p w14:paraId="65904388">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十一、违约责任</w:t>
      </w:r>
    </w:p>
    <w:p w14:paraId="47597822">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（一）供应商违约责任：</w:t>
      </w:r>
    </w:p>
    <w:p w14:paraId="299030F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1.未按合同要求及时提供喷药服务或提供的服务不能满足技术标准和要求，需在采购人指定的期限内无条件重新提供满足采购人需求的相关服务，否则采购人有权解除本合同，不向供应商支付任何费用，并要求供应商赔偿因此造成的全部损失。</w:t>
      </w:r>
    </w:p>
    <w:p w14:paraId="5EF54B37">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2.未在合同约定的15日历日内完成服务，每逾期一日，应按合同总金额的千分之一向采购人支付违约金。逾期超过10日的，采购人有权解除合同，并要求供应商赔偿损失。</w:t>
      </w:r>
    </w:p>
    <w:p w14:paraId="735E1866">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3.防治效果经最终验收未达到90%（因不可抗力或采购人原因导致的除外），供应商应按采购人要求进行补防，补防后仍不合格的，采购人有权扣减合同总金额20%的款项作为违约金，并追偿实际损失。</w:t>
      </w:r>
    </w:p>
    <w:p w14:paraId="2A451522">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4.所用药剂“三证”不全、不符合国家环保安全要求、登记防治对象不适配小麦或未按合同约定的药剂种类、规格、用量使用，采购人有权立即终止合同，并由供应商承担由此产生的一切法律后果和经济损失。</w:t>
      </w:r>
    </w:p>
    <w:p w14:paraId="0FA91A85">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val="0"/>
          <w:bCs w:val="0"/>
          <w:kern w:val="0"/>
          <w:sz w:val="24"/>
          <w:szCs w:val="21"/>
          <w:highlight w:val="none"/>
          <w:lang w:val="en-US" w:eastAsia="zh-CN"/>
        </w:rPr>
        <w:t>5.未经采购人同意擅自更换项目负责人或技术负责人，应向采购人支付违约金人民币2万元。</w:t>
      </w:r>
    </w:p>
    <w:p w14:paraId="46C28974">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highlight w:val="none"/>
          <w:lang w:val="en-US" w:eastAsia="zh-CN"/>
        </w:rPr>
      </w:pPr>
      <w:r>
        <w:rPr>
          <w:rFonts w:hint="eastAsia" w:ascii="宋体" w:hAnsi="宋体" w:cs="宋体"/>
          <w:b/>
          <w:bCs/>
          <w:kern w:val="0"/>
          <w:sz w:val="24"/>
          <w:szCs w:val="21"/>
          <w:highlight w:val="none"/>
          <w:lang w:val="en-US" w:eastAsia="zh-CN"/>
        </w:rPr>
        <w:t>（二）采购人违约责任：</w:t>
      </w:r>
    </w:p>
    <w:p w14:paraId="099ADB7A">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bCs/>
          <w:kern w:val="0"/>
          <w:sz w:val="24"/>
          <w:szCs w:val="21"/>
          <w:highlight w:val="none"/>
          <w:lang w:val="en-US" w:eastAsia="zh-CN"/>
        </w:rPr>
      </w:pPr>
      <w:r>
        <w:rPr>
          <w:rFonts w:hint="eastAsia" w:ascii="宋体" w:hAnsi="宋体" w:cs="宋体"/>
          <w:b w:val="0"/>
          <w:bCs w:val="0"/>
          <w:kern w:val="0"/>
          <w:sz w:val="24"/>
          <w:szCs w:val="21"/>
          <w:highlight w:val="none"/>
          <w:lang w:val="en-US" w:eastAsia="zh-CN"/>
        </w:rPr>
        <w:t>未按合同约定支付款项，每逾期一日，应按应付未付款项的千分之一向供应商支付违约金。</w:t>
      </w:r>
    </w:p>
    <w:p w14:paraId="6AE673AB">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val="0"/>
          <w:bCs w:val="0"/>
          <w:kern w:val="0"/>
          <w:sz w:val="24"/>
          <w:szCs w:val="21"/>
          <w:highlight w:val="none"/>
          <w:lang w:val="en-US" w:eastAsia="zh-CN"/>
        </w:rPr>
      </w:pPr>
      <w:r>
        <w:rPr>
          <w:rFonts w:hint="eastAsia" w:ascii="宋体" w:hAnsi="宋体" w:cs="宋体"/>
          <w:b/>
          <w:bCs/>
          <w:kern w:val="0"/>
          <w:sz w:val="24"/>
          <w:szCs w:val="21"/>
          <w:highlight w:val="none"/>
          <w:lang w:val="en-US" w:eastAsia="zh-CN"/>
        </w:rPr>
        <w:t>（三）合同解除：</w:t>
      </w:r>
      <w:r>
        <w:rPr>
          <w:rFonts w:hint="eastAsia" w:ascii="宋体" w:hAnsi="宋体" w:cs="宋体"/>
          <w:b w:val="0"/>
          <w:bCs w:val="0"/>
          <w:kern w:val="0"/>
          <w:sz w:val="24"/>
          <w:szCs w:val="21"/>
          <w:highlight w:val="none"/>
          <w:lang w:val="en-US" w:eastAsia="zh-CN"/>
        </w:rPr>
        <w:t>合同生效后，除合同另有约定外，甲、乙双方不得中途毁约，否则视为违约，违约方除向对方支付已发生的各项费用外，还需支付违约金，违约金为合同金额的10%。</w:t>
      </w:r>
    </w:p>
    <w:p w14:paraId="16EEF4FB">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lang w:val="en-US" w:eastAsia="zh-CN"/>
        </w:rPr>
      </w:pPr>
      <w:r>
        <w:rPr>
          <w:rFonts w:hint="default" w:ascii="宋体" w:hAnsi="宋体" w:eastAsia="宋体" w:cs="宋体"/>
          <w:b/>
          <w:bCs/>
          <w:kern w:val="0"/>
          <w:sz w:val="24"/>
          <w:szCs w:val="21"/>
          <w:highlight w:val="none"/>
          <w:lang w:val="en-US" w:eastAsia="zh-CN"/>
        </w:rPr>
        <w:t>十二、不可抗力</w:t>
      </w:r>
    </w:p>
    <w:p w14:paraId="0EEEE58A">
      <w:pPr>
        <w:widowControl/>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b w:val="0"/>
          <w:bCs w:val="0"/>
          <w:kern w:val="0"/>
          <w:sz w:val="24"/>
          <w:szCs w:val="21"/>
          <w:highlight w:val="none"/>
          <w:lang w:val="en-US" w:eastAsia="zh-CN"/>
        </w:rPr>
      </w:pPr>
      <w:r>
        <w:rPr>
          <w:rFonts w:hint="default" w:ascii="宋体" w:hAnsi="宋体" w:eastAsia="宋体" w:cs="宋体"/>
          <w:b w:val="0"/>
          <w:bCs w:val="0"/>
          <w:kern w:val="0"/>
          <w:sz w:val="24"/>
          <w:szCs w:val="21"/>
          <w:highlight w:val="none"/>
          <w:lang w:val="en-US" w:eastAsia="zh-CN"/>
        </w:rPr>
        <w:t>（一）在合同有效期内，任何一方因不可抗力事件导致不能履行合同，则合同履行期可延长，其延长期与不可抗力影响期相同。</w:t>
      </w:r>
    </w:p>
    <w:p w14:paraId="6E2A2BEF">
      <w:pPr>
        <w:widowControl/>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b w:val="0"/>
          <w:bCs w:val="0"/>
          <w:kern w:val="0"/>
          <w:sz w:val="24"/>
          <w:szCs w:val="21"/>
          <w:highlight w:val="none"/>
          <w:lang w:val="en-US" w:eastAsia="zh-CN"/>
        </w:rPr>
      </w:pPr>
      <w:r>
        <w:rPr>
          <w:rFonts w:hint="default" w:ascii="宋体" w:hAnsi="宋体" w:eastAsia="宋体" w:cs="宋体"/>
          <w:b w:val="0"/>
          <w:bCs w:val="0"/>
          <w:kern w:val="0"/>
          <w:sz w:val="24"/>
          <w:szCs w:val="21"/>
          <w:highlight w:val="none"/>
          <w:lang w:val="en-US" w:eastAsia="zh-CN"/>
        </w:rPr>
        <w:t>（二）不可抗力事件发生后，应立即通知对方，并寄送有关权威机构出具的证明。</w:t>
      </w:r>
    </w:p>
    <w:p w14:paraId="791AB87A">
      <w:pPr>
        <w:widowControl/>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b w:val="0"/>
          <w:bCs w:val="0"/>
          <w:kern w:val="0"/>
          <w:sz w:val="24"/>
          <w:szCs w:val="21"/>
          <w:highlight w:val="none"/>
          <w:lang w:val="en-US" w:eastAsia="zh-CN"/>
        </w:rPr>
      </w:pPr>
      <w:r>
        <w:rPr>
          <w:rFonts w:hint="default" w:ascii="宋体" w:hAnsi="宋体" w:eastAsia="宋体" w:cs="宋体"/>
          <w:b w:val="0"/>
          <w:bCs w:val="0"/>
          <w:kern w:val="0"/>
          <w:sz w:val="24"/>
          <w:szCs w:val="21"/>
          <w:highlight w:val="none"/>
          <w:lang w:val="en-US" w:eastAsia="zh-CN"/>
        </w:rPr>
        <w:t>（三）不可抗力事件延续120天以上，双方应通过友好协商，确定是否继续履行合同。</w:t>
      </w:r>
    </w:p>
    <w:p w14:paraId="22D76280">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lang w:val="en-US" w:eastAsia="zh-CN"/>
        </w:rPr>
      </w:pPr>
      <w:r>
        <w:rPr>
          <w:rFonts w:hint="default" w:ascii="宋体" w:hAnsi="宋体" w:eastAsia="宋体" w:cs="宋体"/>
          <w:b/>
          <w:bCs/>
          <w:kern w:val="0"/>
          <w:sz w:val="24"/>
          <w:szCs w:val="21"/>
          <w:highlight w:val="none"/>
          <w:lang w:val="en-US" w:eastAsia="zh-CN"/>
        </w:rPr>
        <w:t>十三、争议解决</w:t>
      </w:r>
    </w:p>
    <w:p w14:paraId="18663842">
      <w:pPr>
        <w:widowControl/>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b w:val="0"/>
          <w:bCs w:val="0"/>
          <w:kern w:val="0"/>
          <w:sz w:val="24"/>
          <w:szCs w:val="21"/>
          <w:highlight w:val="none"/>
          <w:lang w:val="en-US" w:eastAsia="zh-CN"/>
        </w:rPr>
      </w:pPr>
      <w:r>
        <w:rPr>
          <w:rFonts w:hint="default" w:ascii="宋体" w:hAnsi="宋体" w:eastAsia="宋体" w:cs="宋体"/>
          <w:b w:val="0"/>
          <w:bCs w:val="0"/>
          <w:kern w:val="0"/>
          <w:sz w:val="24"/>
          <w:szCs w:val="21"/>
          <w:highlight w:val="none"/>
          <w:lang w:val="en-US" w:eastAsia="zh-CN"/>
        </w:rPr>
        <w:t>双方在执行合同中所发生的一切争议，应通过协商解决。如协商不成，可向采购人所在地有管辖权的人民法院起诉。</w:t>
      </w:r>
    </w:p>
    <w:p w14:paraId="5EA86EFD">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lang w:val="en-US" w:eastAsia="zh-CN"/>
        </w:rPr>
      </w:pPr>
      <w:r>
        <w:rPr>
          <w:rFonts w:hint="default" w:ascii="宋体" w:hAnsi="宋体" w:eastAsia="宋体" w:cs="宋体"/>
          <w:b/>
          <w:bCs/>
          <w:kern w:val="0"/>
          <w:sz w:val="24"/>
          <w:szCs w:val="21"/>
          <w:highlight w:val="none"/>
          <w:lang w:val="en-US" w:eastAsia="zh-CN"/>
        </w:rPr>
        <w:t>十四、合同生效及其他</w:t>
      </w:r>
    </w:p>
    <w:p w14:paraId="5D0A89F4">
      <w:pPr>
        <w:widowControl/>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b w:val="0"/>
          <w:bCs w:val="0"/>
          <w:kern w:val="0"/>
          <w:sz w:val="24"/>
          <w:szCs w:val="21"/>
          <w:highlight w:val="none"/>
          <w:lang w:val="en-US" w:eastAsia="zh-CN"/>
        </w:rPr>
      </w:pPr>
      <w:r>
        <w:rPr>
          <w:rFonts w:hint="default" w:ascii="宋体" w:hAnsi="宋体" w:eastAsia="宋体" w:cs="宋体"/>
          <w:b w:val="0"/>
          <w:bCs w:val="0"/>
          <w:kern w:val="0"/>
          <w:sz w:val="24"/>
          <w:szCs w:val="21"/>
          <w:highlight w:val="none"/>
          <w:lang w:val="en-US" w:eastAsia="zh-CN"/>
        </w:rPr>
        <w:t>（一）本合同经采购人、供应商法定代表人或其委托人签字并加盖公章后生效。</w:t>
      </w:r>
    </w:p>
    <w:p w14:paraId="1A67ECF3">
      <w:pPr>
        <w:widowControl/>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b w:val="0"/>
          <w:bCs w:val="0"/>
          <w:kern w:val="0"/>
          <w:sz w:val="24"/>
          <w:szCs w:val="21"/>
          <w:highlight w:val="none"/>
          <w:lang w:val="en-US" w:eastAsia="zh-CN"/>
        </w:rPr>
      </w:pPr>
      <w:r>
        <w:rPr>
          <w:rFonts w:hint="default" w:ascii="宋体" w:hAnsi="宋体" w:eastAsia="宋体" w:cs="宋体"/>
          <w:b w:val="0"/>
          <w:bCs w:val="0"/>
          <w:kern w:val="0"/>
          <w:sz w:val="24"/>
          <w:szCs w:val="21"/>
          <w:highlight w:val="none"/>
          <w:lang w:val="en-US" w:eastAsia="zh-CN"/>
        </w:rPr>
        <w:t>（二）本合同一式陆份，采购人执贰份，供应商执贰份，其余相关部门各壹份，具有同等法律效力。</w:t>
      </w:r>
    </w:p>
    <w:p w14:paraId="32A2CF7B">
      <w:pPr>
        <w:widowControl/>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b w:val="0"/>
          <w:bCs w:val="0"/>
          <w:kern w:val="0"/>
          <w:sz w:val="24"/>
          <w:szCs w:val="21"/>
          <w:highlight w:val="none"/>
          <w:lang w:val="en-US" w:eastAsia="zh-CN"/>
        </w:rPr>
      </w:pPr>
      <w:r>
        <w:rPr>
          <w:rFonts w:hint="default" w:ascii="宋体" w:hAnsi="宋体" w:eastAsia="宋体" w:cs="宋体"/>
          <w:b w:val="0"/>
          <w:bCs w:val="0"/>
          <w:kern w:val="0"/>
          <w:sz w:val="24"/>
          <w:szCs w:val="21"/>
          <w:highlight w:val="none"/>
          <w:lang w:val="en-US" w:eastAsia="zh-CN"/>
        </w:rPr>
        <w:t>（三）未尽事宜，双方可签订补充协议，补充协议与本合同具有同等法律效力。</w:t>
      </w:r>
    </w:p>
    <w:p w14:paraId="69E242B0">
      <w:pPr>
        <w:pStyle w:val="4"/>
        <w:rPr>
          <w:rFonts w:hint="eastAsia" w:ascii="宋体" w:hAnsi="宋体" w:eastAsia="宋体" w:cs="宋体"/>
          <w:spacing w:val="-8"/>
          <w:kern w:val="0"/>
          <w:sz w:val="24"/>
          <w:szCs w:val="21"/>
        </w:rPr>
      </w:pPr>
    </w:p>
    <w:p w14:paraId="2D8AB24C">
      <w:pPr>
        <w:rPr>
          <w:rFonts w:hint="eastAsia"/>
        </w:rPr>
      </w:pPr>
    </w:p>
    <w:p w14:paraId="7CAFF422">
      <w:pPr>
        <w:pStyle w:val="4"/>
        <w:rPr>
          <w:rFonts w:hint="eastAsia"/>
        </w:rPr>
      </w:pPr>
    </w:p>
    <w:p w14:paraId="49BF39A2">
      <w:pPr>
        <w:pStyle w:val="4"/>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67DF097B">
      <w:pPr>
        <w:pStyle w:val="4"/>
        <w:spacing w:line="360" w:lineRule="auto"/>
        <w:ind w:firstLine="240" w:firstLineChars="100"/>
        <w:rPr>
          <w:rFonts w:hint="eastAsia" w:ascii="宋体" w:hAnsi="宋体" w:eastAsia="宋体" w:cs="宋体"/>
          <w:color w:val="auto"/>
          <w:kern w:val="0"/>
          <w:szCs w:val="21"/>
        </w:rPr>
      </w:pPr>
    </w:p>
    <w:p w14:paraId="2361DFCB">
      <w:pPr>
        <w:pStyle w:val="4"/>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4"/>
        <w:spacing w:line="360" w:lineRule="auto"/>
        <w:ind w:firstLine="240" w:firstLineChars="10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09D9D24F">
      <w:pPr>
        <w:spacing w:line="360" w:lineRule="auto"/>
        <w:jc w:val="center"/>
        <w:rPr>
          <w:rFonts w:hint="eastAsia" w:ascii="宋体" w:hAnsi="宋体" w:eastAsia="宋体" w:cs="宋体"/>
          <w:color w:val="auto"/>
          <w:kern w:val="0"/>
          <w:sz w:val="24"/>
          <w:szCs w:val="21"/>
          <w:lang w:val="en-US" w:eastAsia="zh-CN" w:bidi="ar-SA"/>
        </w:rPr>
      </w:pPr>
    </w:p>
    <w:p w14:paraId="0B4B6A87">
      <w:pPr>
        <w:spacing w:line="360" w:lineRule="auto"/>
        <w:jc w:val="center"/>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年   月   日                                 年   月   日</w:t>
      </w:r>
    </w:p>
    <w:p w14:paraId="229716F2">
      <w:pPr>
        <w:spacing w:line="360" w:lineRule="auto"/>
        <w:jc w:val="center"/>
        <w:outlineLvl w:val="0"/>
        <w:rPr>
          <w:rFonts w:hint="eastAsia" w:ascii="宋体" w:hAnsi="宋体" w:eastAsia="宋体" w:cs="宋体"/>
          <w:b/>
          <w:bCs/>
          <w:sz w:val="32"/>
          <w:szCs w:val="20"/>
        </w:rPr>
      </w:pPr>
    </w:p>
    <w:p w14:paraId="69134DAE"/>
    <w:sectPr>
      <w:footerReference r:id="rId5" w:type="default"/>
      <w:pgSz w:w="11906" w:h="16838"/>
      <w:pgMar w:top="1440" w:right="1463" w:bottom="1440" w:left="1463"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6413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C51EC3">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C51EC3">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07BE62CF"/>
    <w:rsid w:val="0ACC5401"/>
    <w:rsid w:val="0B123CA0"/>
    <w:rsid w:val="11FF2C23"/>
    <w:rsid w:val="3EB25A2F"/>
    <w:rsid w:val="3F1F3619"/>
    <w:rsid w:val="42BC3E6B"/>
    <w:rsid w:val="5D1145C2"/>
    <w:rsid w:val="6D04467D"/>
    <w:rsid w:val="70FF4673"/>
    <w:rsid w:val="78C87131"/>
    <w:rsid w:val="7A7C01D3"/>
    <w:rsid w:val="7F22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styleId="5">
    <w:name w:val="Body Text Indent"/>
    <w:basedOn w:val="1"/>
    <w:qFormat/>
    <w:uiPriority w:val="0"/>
    <w:pPr>
      <w:ind w:firstLine="480"/>
    </w:pPr>
    <w:rPr>
      <w:rFonts w:ascii="宋体" w:hAnsi="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able of figures"/>
    <w:basedOn w:val="1"/>
    <w:next w:val="1"/>
    <w:qFormat/>
    <w:uiPriority w:val="0"/>
    <w:pPr>
      <w:spacing w:line="360" w:lineRule="auto"/>
      <w:ind w:hanging="200"/>
    </w:pPr>
    <w:rPr>
      <w:rFonts w:ascii="宋体"/>
      <w:kern w:val="0"/>
      <w:sz w:val="20"/>
      <w:szCs w:val="20"/>
    </w:rPr>
  </w:style>
  <w:style w:type="paragraph" w:styleId="9">
    <w:name w:val="Normal (Web)"/>
    <w:basedOn w:val="1"/>
    <w:qFormat/>
    <w:uiPriority w:val="0"/>
    <w:rPr>
      <w:sz w:val="24"/>
    </w:rPr>
  </w:style>
  <w:style w:type="paragraph" w:styleId="10">
    <w:name w:val="Body Text First Indent 2"/>
    <w:basedOn w:val="5"/>
    <w:qFormat/>
    <w:uiPriority w:val="0"/>
    <w:pPr>
      <w:ind w:firstLine="420"/>
    </w:pPr>
  </w:style>
  <w:style w:type="paragraph" w:customStyle="1" w:styleId="13">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4476</Words>
  <Characters>4607</Characters>
  <Lines>0</Lines>
  <Paragraphs>0</Paragraphs>
  <TotalTime>0</TotalTime>
  <ScaleCrop>false</ScaleCrop>
  <LinksUpToDate>false</LinksUpToDate>
  <CharactersWithSpaces>4821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芳芳</cp:lastModifiedBy>
  <dcterms:modified xsi:type="dcterms:W3CDTF">2026-03-31T12:26:54Z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D1EFC0AF08A14CABA586F890E04936C5_11</vt:lpwstr>
  </property>
  <property fmtid="{D5CDD505-2E9C-101B-9397-08002B2CF9AE}" pid="4" name="KSOTemplateDocerSaveRecord">
    <vt:lpwstr>eyJoZGlkIjoiMjM5NDNlNjc5ZDc2YTRlZGM1NDBkMjI5NDc4OTkxNDkiLCJ1c2VySWQiOiIyOTk5MjQzNDAifQ==</vt:lpwstr>
  </property>
</Properties>
</file>