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版本号：ZCSP-渭南市-2026-0002120260310001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物业管理服务项目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ZCSP-渭南市-2026-00021</w:t>
      </w:r>
      <w:r>
        <w:br/>
      </w:r>
      <w:r>
        <w:br/>
      </w:r>
      <w:r>
        <w:br/>
      </w:r>
    </w:p>
    <w:p>
      <w:pPr>
        <w:pStyle w:val="null3"/>
        <w:jc w:val="center"/>
        <w:outlineLvl w:val="2"/>
      </w:pPr>
      <w:r>
        <w:rPr>
          <w:rFonts w:ascii="仿宋_GB2312" w:hAnsi="仿宋_GB2312" w:cs="仿宋_GB2312" w:eastAsia="仿宋_GB2312"/>
          <w:sz w:val="28"/>
          <w:b/>
        </w:rPr>
        <w:t>渭南市中级人民法院</w:t>
      </w:r>
    </w:p>
    <w:p>
      <w:pPr>
        <w:pStyle w:val="null3"/>
        <w:jc w:val="center"/>
        <w:outlineLvl w:val="2"/>
      </w:pPr>
      <w:r>
        <w:rPr>
          <w:rFonts w:ascii="仿宋_GB2312" w:hAnsi="仿宋_GB2312" w:cs="仿宋_GB2312" w:eastAsia="仿宋_GB2312"/>
          <w:sz w:val="28"/>
          <w:b/>
        </w:rPr>
        <w:t>渭南市政府采购中心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渭南市政府采购中心</w:t>
      </w:r>
      <w:r>
        <w:rPr>
          <w:rFonts w:ascii="仿宋_GB2312" w:hAnsi="仿宋_GB2312" w:cs="仿宋_GB2312" w:eastAsia="仿宋_GB2312"/>
        </w:rPr>
        <w:t>（以下简称“代理机构”）受</w:t>
      </w:r>
      <w:r>
        <w:rPr>
          <w:rFonts w:ascii="仿宋_GB2312" w:hAnsi="仿宋_GB2312" w:cs="仿宋_GB2312" w:eastAsia="仿宋_GB2312"/>
        </w:rPr>
        <w:t>渭南市中级人民法院</w:t>
      </w:r>
      <w:r>
        <w:rPr>
          <w:rFonts w:ascii="仿宋_GB2312" w:hAnsi="仿宋_GB2312" w:cs="仿宋_GB2312" w:eastAsia="仿宋_GB2312"/>
        </w:rPr>
        <w:t>委托，拟对</w:t>
      </w:r>
      <w:r>
        <w:rPr>
          <w:rFonts w:ascii="仿宋_GB2312" w:hAnsi="仿宋_GB2312" w:cs="仿宋_GB2312" w:eastAsia="仿宋_GB2312"/>
        </w:rPr>
        <w:t>物业管理服务项目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ZCSP-渭南市-2026-00021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物业管理服务项目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渭南市中级人民法院项目位于渭南市渭河大街与杜化路十字东北区域，该项目总建筑面积约35500㎡。主要建设房屋包括立案用房、审判用房、执行用房、信访接待用房、审判配套用房、诉讼档案用房、司法警察警务用房和辅助用房等。本项目为渭南市中级人民法院物业管理服务招标采购。</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采购包1（物业服务项目）：属于专门面向中小企业采购。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渭南市中级人民法院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渭南市临渭区渭河大街73号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渭南市中级人民法院经办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0913-2117588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渭南市政府采购中心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陕西省渭南市临渭区朝阳大街中段中银大厦</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渭南市政府采购中心经办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0913-2100081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采购包1：2,400,000.00元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渭南市中级人民法院</w:t>
      </w:r>
      <w:r>
        <w:rPr>
          <w:rFonts w:ascii="仿宋_GB2312" w:hAnsi="仿宋_GB2312" w:cs="仿宋_GB2312" w:eastAsia="仿宋_GB2312"/>
        </w:rPr>
        <w:t>和</w:t>
      </w:r>
      <w:r>
        <w:rPr>
          <w:rFonts w:ascii="仿宋_GB2312" w:hAnsi="仿宋_GB2312" w:cs="仿宋_GB2312" w:eastAsia="仿宋_GB2312"/>
        </w:rPr>
        <w:t>渭南市政府采购中心</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渭南市中级人民法院</w:t>
      </w:r>
      <w:r>
        <w:rPr>
          <w:rFonts w:ascii="仿宋_GB2312" w:hAnsi="仿宋_GB2312" w:cs="仿宋_GB2312" w:eastAsia="仿宋_GB2312"/>
        </w:rPr>
        <w:t>负责解释。除上述招标文件内容，其他内容由</w:t>
      </w:r>
      <w:r>
        <w:rPr>
          <w:rFonts w:ascii="仿宋_GB2312" w:hAnsi="仿宋_GB2312" w:cs="仿宋_GB2312" w:eastAsia="仿宋_GB2312"/>
        </w:rPr>
        <w:t>渭南市政府采购中心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渭南市中级人民法院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渭南市政府采购中心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按照合同约定的要求。</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渭南市政府采购中心</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渭南市政府采购中心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渭南市政府采购中心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联系人：渭南市政府采购中心经办</w:t>
      </w:r>
    </w:p>
    <w:p>
      <w:pPr>
        <w:pStyle w:val="null3"/>
      </w:pPr>
      <w:r>
        <w:rPr>
          <w:rFonts w:ascii="仿宋_GB2312" w:hAnsi="仿宋_GB2312" w:cs="仿宋_GB2312" w:eastAsia="仿宋_GB2312"/>
        </w:rPr>
        <w:t>联系电话：0913-2100081</w:t>
      </w:r>
    </w:p>
    <w:p>
      <w:pPr>
        <w:pStyle w:val="null3"/>
      </w:pPr>
      <w:r>
        <w:rPr>
          <w:rFonts w:ascii="仿宋_GB2312" w:hAnsi="仿宋_GB2312" w:cs="仿宋_GB2312" w:eastAsia="仿宋_GB2312"/>
        </w:rPr>
        <w:t>地址：渭南市朝阳大街中段中银大厦11层</w:t>
      </w:r>
    </w:p>
    <w:p>
      <w:pPr>
        <w:pStyle w:val="null3"/>
      </w:pPr>
      <w:r>
        <w:rPr>
          <w:rFonts w:ascii="仿宋_GB2312" w:hAnsi="仿宋_GB2312" w:cs="仿宋_GB2312" w:eastAsia="仿宋_GB2312"/>
        </w:rPr>
        <w:t>邮编：714000</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联系人：渭南市中级人民法院经办</w:t>
      </w:r>
    </w:p>
    <w:p>
      <w:pPr>
        <w:pStyle w:val="null3"/>
      </w:pPr>
      <w:r>
        <w:rPr>
          <w:rFonts w:ascii="仿宋_GB2312" w:hAnsi="仿宋_GB2312" w:cs="仿宋_GB2312" w:eastAsia="仿宋_GB2312"/>
        </w:rPr>
        <w:t>联系电话： 0913-2117588</w:t>
      </w:r>
    </w:p>
    <w:p>
      <w:pPr>
        <w:pStyle w:val="null3"/>
      </w:pPr>
      <w:r>
        <w:rPr>
          <w:rFonts w:ascii="仿宋_GB2312" w:hAnsi="仿宋_GB2312" w:cs="仿宋_GB2312" w:eastAsia="仿宋_GB2312"/>
        </w:rPr>
        <w:t>地址：渭南市临渭区渭河大街73号</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渭南市中级人民法院项目位于渭南市渭河大街与杜化路十字东北区域，该项目总建筑面积约35500㎡。主要建设房屋包括立案用房、审判用房、执行用房、信访接待用房、审判配套用房、诉讼档案用房、司法警察警务用房和辅助用房等。</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2,400,000.00</w:t>
      </w:r>
    </w:p>
    <w:p>
      <w:pPr>
        <w:pStyle w:val="null3"/>
      </w:pPr>
      <w:r>
        <w:rPr>
          <w:rFonts w:ascii="仿宋_GB2312" w:hAnsi="仿宋_GB2312" w:cs="仿宋_GB2312" w:eastAsia="仿宋_GB2312"/>
        </w:rPr>
        <w:t>采购包最高限价（元）: 2,400,000.00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物业管理服务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2,400,000.00</w:t>
            </w:r>
          </w:p>
        </w:tc>
        <w:tc>
          <w:tcPr>
            <w:tcW w:type="dxa" w:w="831"/>
          </w:tcPr>
          <w:p>
            <w:pPr>
              <w:pStyle w:val="null3"/>
            </w:pPr>
            <w:r>
              <w:rPr>
                <w:rFonts w:ascii="仿宋_GB2312" w:hAnsi="仿宋_GB2312" w:cs="仿宋_GB2312" w:eastAsia="仿宋_GB2312"/>
              </w:rPr>
              <w:t>年</w:t>
            </w:r>
          </w:p>
        </w:tc>
        <w:tc>
          <w:tcPr>
            <w:tcW w:type="dxa" w:w="831"/>
          </w:tcPr>
          <w:p>
            <w:pPr>
              <w:pStyle w:val="null3"/>
            </w:pPr>
            <w:r>
              <w:rPr>
                <w:rFonts w:ascii="仿宋_GB2312" w:hAnsi="仿宋_GB2312" w:cs="仿宋_GB2312" w:eastAsia="仿宋_GB2312"/>
              </w:rPr>
              <w:t>物业管理</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标的名称：物业管理服务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rPr>
              <w:t>一、岗位任职要求</w:t>
            </w:r>
          </w:p>
          <w:tbl>
            <w:tblPr>
              <w:tblBorders>
                <w:top w:val="single"/>
                <w:left w:val="single"/>
                <w:bottom w:val="single"/>
                <w:right w:val="single"/>
                <w:insideH w:val="single"/>
                <w:insideV w:val="single"/>
              </w:tblBorders>
            </w:tblPr>
            <w:tblGrid>
              <w:gridCol w:w="121"/>
              <w:gridCol w:w="290"/>
              <w:gridCol w:w="124"/>
              <w:gridCol w:w="1621"/>
            </w:tblGrid>
            <w:tr>
              <w:tc>
                <w:tcPr>
                  <w:tcW w:type="dxa" w:w="1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序号</w:t>
                  </w:r>
                </w:p>
              </w:tc>
              <w:tc>
                <w:tcPr>
                  <w:tcW w:type="dxa" w:w="290"/>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岗位名称</w:t>
                  </w:r>
                </w:p>
              </w:tc>
              <w:tc>
                <w:tcPr>
                  <w:tcW w:type="dxa" w:w="124"/>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人数</w:t>
                  </w:r>
                </w:p>
              </w:tc>
              <w:tc>
                <w:tcPr>
                  <w:tcW w:type="dxa" w:w="1621"/>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任职要求</w:t>
                  </w:r>
                </w:p>
              </w:tc>
            </w:tr>
            <w:tr>
              <w:tc>
                <w:tcPr>
                  <w:tcW w:type="dxa" w:w="1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90"/>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项目经理</w:t>
                  </w:r>
                </w:p>
              </w:tc>
              <w:tc>
                <w:tcPr>
                  <w:tcW w:type="dxa" w:w="124"/>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1人</w:t>
                  </w:r>
                </w:p>
              </w:tc>
              <w:tc>
                <w:tcPr>
                  <w:tcW w:type="dxa" w:w="1621"/>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（1）具有大专及以上学历证明，有相关物业管理知识，并取得物业管理项目经理证书。</w:t>
                  </w:r>
                  <w:r>
                    <w:br/>
                  </w:r>
                  <w:r>
                    <w:rPr>
                      <w:rFonts w:ascii="仿宋_GB2312" w:hAnsi="仿宋_GB2312" w:cs="仿宋_GB2312" w:eastAsia="仿宋_GB2312"/>
                      <w:sz w:val="19"/>
                      <w:color w:val="000000"/>
                    </w:rPr>
                    <w:t xml:space="preserve"> （2）具有物业项目管理经验2年以上。</w:t>
                  </w:r>
                  <w:r>
                    <w:br/>
                  </w:r>
                  <w:r>
                    <w:rPr>
                      <w:rFonts w:ascii="仿宋_GB2312" w:hAnsi="仿宋_GB2312" w:cs="仿宋_GB2312" w:eastAsia="仿宋_GB2312"/>
                      <w:sz w:val="19"/>
                      <w:color w:val="000000"/>
                    </w:rPr>
                    <w:t xml:space="preserve"> （3）优秀的管理技能，具有组织能力，实干精神强。</w:t>
                  </w:r>
                  <w:r>
                    <w:br/>
                  </w:r>
                  <w:r>
                    <w:rPr>
                      <w:rFonts w:ascii="仿宋_GB2312" w:hAnsi="仿宋_GB2312" w:cs="仿宋_GB2312" w:eastAsia="仿宋_GB2312"/>
                      <w:sz w:val="19"/>
                      <w:color w:val="000000"/>
                    </w:rPr>
                    <w:t xml:space="preserve"> （4）具有较强的安全意识及职业道德，具有良好的应变能力和处理问题的能力。</w:t>
                  </w:r>
                </w:p>
              </w:tc>
            </w:tr>
            <w:tr>
              <w:tc>
                <w:tcPr>
                  <w:tcW w:type="dxa" w:w="12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29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秩序维护服务</w:t>
                  </w:r>
                </w:p>
              </w:tc>
              <w:tc>
                <w:tcPr>
                  <w:tcW w:type="dxa" w:w="12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10人</w:t>
                  </w:r>
                </w:p>
              </w:tc>
              <w:tc>
                <w:tcPr>
                  <w:tcW w:type="dxa" w:w="162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（1）具有相关工作经验，年龄55岁以下，男性，身体健康。</w:t>
                  </w:r>
                  <w:r>
                    <w:br/>
                  </w:r>
                  <w:r>
                    <w:rPr>
                      <w:rFonts w:ascii="仿宋_GB2312" w:hAnsi="仿宋_GB2312" w:cs="仿宋_GB2312" w:eastAsia="仿宋_GB2312"/>
                      <w:sz w:val="19"/>
                      <w:color w:val="000000"/>
                    </w:rPr>
                    <w:t xml:space="preserve"> （2）吃苦耐劳，遵纪守法，服务态度好，无不良嗜好。</w:t>
                  </w:r>
                  <w:r>
                    <w:br/>
                  </w:r>
                  <w:r>
                    <w:rPr>
                      <w:rFonts w:ascii="仿宋_GB2312" w:hAnsi="仿宋_GB2312" w:cs="仿宋_GB2312" w:eastAsia="仿宋_GB2312"/>
                      <w:sz w:val="19"/>
                      <w:color w:val="000000"/>
                    </w:rPr>
                    <w:t xml:space="preserve"> （3）持保安证上岗。</w:t>
                  </w:r>
                </w:p>
              </w:tc>
            </w:tr>
            <w:tr>
              <w:tc>
                <w:tcPr>
                  <w:tcW w:type="dxa" w:w="12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29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保洁绿化服务</w:t>
                  </w:r>
                </w:p>
              </w:tc>
              <w:tc>
                <w:tcPr>
                  <w:tcW w:type="dxa" w:w="12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22人</w:t>
                  </w:r>
                </w:p>
              </w:tc>
              <w:tc>
                <w:tcPr>
                  <w:tcW w:type="dxa" w:w="162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（1）具有相关的工作经验，年龄60岁以下，身体健康。</w:t>
                  </w:r>
                  <w:r>
                    <w:br/>
                  </w:r>
                  <w:r>
                    <w:rPr>
                      <w:rFonts w:ascii="仿宋_GB2312" w:hAnsi="仿宋_GB2312" w:cs="仿宋_GB2312" w:eastAsia="仿宋_GB2312"/>
                      <w:sz w:val="19"/>
                      <w:color w:val="000000"/>
                    </w:rPr>
                    <w:t xml:space="preserve"> （2）吃苦耐劳，遵纪守法，服务态度好，无不良嗜好。</w:t>
                  </w:r>
                  <w:r>
                    <w:br/>
                  </w:r>
                  <w:r>
                    <w:rPr>
                      <w:rFonts w:ascii="仿宋_GB2312" w:hAnsi="仿宋_GB2312" w:cs="仿宋_GB2312" w:eastAsia="仿宋_GB2312"/>
                      <w:sz w:val="19"/>
                      <w:color w:val="000000"/>
                    </w:rPr>
                    <w:t xml:space="preserve"> （3）持健康证上岗。</w:t>
                  </w:r>
                </w:p>
              </w:tc>
            </w:tr>
            <w:tr>
              <w:tc>
                <w:tcPr>
                  <w:tcW w:type="dxa" w:w="12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29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水电维护服务</w:t>
                  </w:r>
                </w:p>
              </w:tc>
              <w:tc>
                <w:tcPr>
                  <w:tcW w:type="dxa" w:w="12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2人</w:t>
                  </w:r>
                </w:p>
              </w:tc>
              <w:tc>
                <w:tcPr>
                  <w:tcW w:type="dxa" w:w="162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（1）具有相关专业知识，身体健康。</w:t>
                  </w:r>
                  <w:r>
                    <w:br/>
                  </w:r>
                  <w:r>
                    <w:rPr>
                      <w:rFonts w:ascii="仿宋_GB2312" w:hAnsi="仿宋_GB2312" w:cs="仿宋_GB2312" w:eastAsia="仿宋_GB2312"/>
                      <w:sz w:val="19"/>
                      <w:color w:val="000000"/>
                    </w:rPr>
                    <w:t xml:space="preserve"> （2）吃苦耐劳，遵纪守法，服务态度好，无不良嗜好。</w:t>
                  </w:r>
                  <w:r>
                    <w:br/>
                  </w:r>
                  <w:r>
                    <w:rPr>
                      <w:rFonts w:ascii="仿宋_GB2312" w:hAnsi="仿宋_GB2312" w:cs="仿宋_GB2312" w:eastAsia="仿宋_GB2312"/>
                      <w:sz w:val="19"/>
                      <w:color w:val="000000"/>
                    </w:rPr>
                    <w:t xml:space="preserve"> （3）持电工证上岗，技能满足招标要求。</w:t>
                  </w:r>
                </w:p>
              </w:tc>
            </w:tr>
            <w:tr>
              <w:tc>
                <w:tcPr>
                  <w:tcW w:type="dxa" w:w="12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29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会议服务</w:t>
                  </w:r>
                </w:p>
              </w:tc>
              <w:tc>
                <w:tcPr>
                  <w:tcW w:type="dxa" w:w="12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3人</w:t>
                  </w:r>
                </w:p>
              </w:tc>
              <w:tc>
                <w:tcPr>
                  <w:tcW w:type="dxa" w:w="162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（1）女性，形象好、气质佳，身高160以上，年龄25-35岁。</w:t>
                  </w:r>
                  <w:r>
                    <w:br/>
                  </w:r>
                  <w:r>
                    <w:rPr>
                      <w:rFonts w:ascii="仿宋_GB2312" w:hAnsi="仿宋_GB2312" w:cs="仿宋_GB2312" w:eastAsia="仿宋_GB2312"/>
                      <w:sz w:val="19"/>
                      <w:color w:val="000000"/>
                    </w:rPr>
                    <w:t xml:space="preserve"> （2）有相关工作经验，持健康证上岗。</w:t>
                  </w:r>
                </w:p>
              </w:tc>
            </w:tr>
            <w:tr>
              <w:tc>
                <w:tcPr>
                  <w:tcW w:type="dxa" w:w="12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29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理发服务</w:t>
                  </w:r>
                </w:p>
              </w:tc>
              <w:tc>
                <w:tcPr>
                  <w:tcW w:type="dxa" w:w="12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1人</w:t>
                  </w:r>
                </w:p>
              </w:tc>
              <w:tc>
                <w:tcPr>
                  <w:tcW w:type="dxa" w:w="162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（1）具有理发工作经验，年龄55岁以下，身体健康。</w:t>
                  </w:r>
                  <w:r>
                    <w:br/>
                  </w:r>
                  <w:r>
                    <w:rPr>
                      <w:rFonts w:ascii="仿宋_GB2312" w:hAnsi="仿宋_GB2312" w:cs="仿宋_GB2312" w:eastAsia="仿宋_GB2312"/>
                      <w:sz w:val="19"/>
                      <w:color w:val="000000"/>
                    </w:rPr>
                    <w:t xml:space="preserve"> （2）吃苦耐劳，遵纪守法，服务态度好，无不良嗜好。</w:t>
                  </w:r>
                  <w:r>
                    <w:br/>
                  </w:r>
                  <w:r>
                    <w:rPr>
                      <w:rFonts w:ascii="仿宋_GB2312" w:hAnsi="仿宋_GB2312" w:cs="仿宋_GB2312" w:eastAsia="仿宋_GB2312"/>
                      <w:sz w:val="19"/>
                      <w:color w:val="000000"/>
                    </w:rPr>
                    <w:t xml:space="preserve"> （3）持健康证上岗。</w:t>
                  </w:r>
                </w:p>
              </w:tc>
            </w:tr>
            <w:tr>
              <w:tc>
                <w:tcPr>
                  <w:tcW w:type="dxa" w:w="12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w:t>
                  </w:r>
                </w:p>
              </w:tc>
              <w:tc>
                <w:tcPr>
                  <w:tcW w:type="dxa" w:w="29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洗衣服务</w:t>
                  </w:r>
                </w:p>
              </w:tc>
              <w:tc>
                <w:tcPr>
                  <w:tcW w:type="dxa" w:w="12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2人</w:t>
                  </w:r>
                </w:p>
              </w:tc>
              <w:tc>
                <w:tcPr>
                  <w:tcW w:type="dxa" w:w="162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（1）女性，形象好、气质佳，具有洗衣工作经验，年龄55岁以下，身体健康。</w:t>
                  </w:r>
                  <w:r>
                    <w:br/>
                  </w:r>
                  <w:r>
                    <w:rPr>
                      <w:rFonts w:ascii="仿宋_GB2312" w:hAnsi="仿宋_GB2312" w:cs="仿宋_GB2312" w:eastAsia="仿宋_GB2312"/>
                      <w:sz w:val="19"/>
                      <w:color w:val="000000"/>
                    </w:rPr>
                    <w:t xml:space="preserve"> （2）吃苦耐劳，遵纪守法，服务态度好，无不良嗜好。</w:t>
                  </w:r>
                  <w:r>
                    <w:br/>
                  </w:r>
                  <w:r>
                    <w:rPr>
                      <w:rFonts w:ascii="仿宋_GB2312" w:hAnsi="仿宋_GB2312" w:cs="仿宋_GB2312" w:eastAsia="仿宋_GB2312"/>
                      <w:sz w:val="19"/>
                      <w:color w:val="000000"/>
                    </w:rPr>
                    <w:t xml:space="preserve"> （3）持健康证上岗。</w:t>
                  </w:r>
                </w:p>
              </w:tc>
            </w:tr>
          </w:tbl>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center"/>
            </w:pPr>
            <w:r>
              <w:rPr>
                <w:rFonts w:ascii="仿宋_GB2312" w:hAnsi="仿宋_GB2312" w:cs="仿宋_GB2312" w:eastAsia="仿宋_GB2312"/>
              </w:rPr>
              <w:t>二、服务质量、标准要求</w:t>
            </w:r>
          </w:p>
          <w:tbl>
            <w:tblPr>
              <w:tblBorders>
                <w:top w:val="single"/>
                <w:left w:val="single"/>
                <w:bottom w:val="single"/>
                <w:right w:val="single"/>
                <w:insideH w:val="single"/>
                <w:insideV w:val="single"/>
              </w:tblBorders>
            </w:tblPr>
            <w:tblGrid>
              <w:gridCol w:w="88"/>
              <w:gridCol w:w="211"/>
              <w:gridCol w:w="1350"/>
            </w:tblGrid>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序号</w:t>
                  </w:r>
                </w:p>
              </w:tc>
              <w:tc>
                <w:tcPr>
                  <w:tcW w:type="dxa" w:w="211"/>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服务项目</w:t>
                  </w:r>
                </w:p>
              </w:tc>
              <w:tc>
                <w:tcPr>
                  <w:tcW w:type="dxa" w:w="1350"/>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质量、标准要求</w:t>
                  </w: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11"/>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秩序维护服务</w:t>
                  </w:r>
                </w:p>
              </w:tc>
              <w:tc>
                <w:tcPr>
                  <w:tcW w:type="dxa" w:w="1350"/>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服务范围内的秩序维护及突发事件处理，负责车辆进出、停放的秩序及安全防范工作，包含门岗值守、进出登记、日常安全巡逻、24小时值班。</w:t>
                  </w:r>
                  <w:r>
                    <w:br/>
                  </w:r>
                  <w:r>
                    <w:rPr>
                      <w:rFonts w:ascii="仿宋_GB2312" w:hAnsi="仿宋_GB2312" w:cs="仿宋_GB2312" w:eastAsia="仿宋_GB2312"/>
                      <w:sz w:val="19"/>
                      <w:color w:val="000000"/>
                    </w:rPr>
                    <w:t xml:space="preserve"> 1、实施区域24小时不间断巡视，穿统一制服，用语礼貌，文明值勤。</w:t>
                  </w:r>
                  <w:r>
                    <w:br/>
                  </w:r>
                  <w:r>
                    <w:rPr>
                      <w:rFonts w:ascii="仿宋_GB2312" w:hAnsi="仿宋_GB2312" w:cs="仿宋_GB2312" w:eastAsia="仿宋_GB2312"/>
                      <w:sz w:val="19"/>
                      <w:color w:val="000000"/>
                    </w:rPr>
                    <w:t xml:space="preserve"> 2、确保本项目内公共秩序良好，无乱贴乱画现象。</w:t>
                  </w:r>
                  <w:r>
                    <w:br/>
                  </w:r>
                  <w:r>
                    <w:rPr>
                      <w:rFonts w:ascii="仿宋_GB2312" w:hAnsi="仿宋_GB2312" w:cs="仿宋_GB2312" w:eastAsia="仿宋_GB2312"/>
                      <w:sz w:val="19"/>
                      <w:color w:val="000000"/>
                    </w:rPr>
                    <w:t xml:space="preserve"> 3、遇有紧急情况或其它安全需要，本项目巡逻岗可在2分钟内到达现场进行确认。</w:t>
                  </w:r>
                  <w:r>
                    <w:br/>
                  </w:r>
                  <w:r>
                    <w:rPr>
                      <w:rFonts w:ascii="仿宋_GB2312" w:hAnsi="仿宋_GB2312" w:cs="仿宋_GB2312" w:eastAsia="仿宋_GB2312"/>
                      <w:sz w:val="19"/>
                      <w:color w:val="000000"/>
                    </w:rPr>
                    <w:t xml:space="preserve"> 4、门岗在特殊时段(上下班期间、领导参观等)保持立岗，控制人员、车辆进出，外来人员应登记并经许可后方能进入，严禁闲杂人员进入。</w:t>
                  </w:r>
                  <w:r>
                    <w:br/>
                  </w:r>
                  <w:r>
                    <w:rPr>
                      <w:rFonts w:ascii="仿宋_GB2312" w:hAnsi="仿宋_GB2312" w:cs="仿宋_GB2312" w:eastAsia="仿宋_GB2312"/>
                      <w:sz w:val="19"/>
                      <w:color w:val="000000"/>
                    </w:rPr>
                    <w:t xml:space="preserve"> 5、定时巡逻，巡逻内容包括：巡查车辆停放秩序，车辆按指定位置有序停放；巡查设备设施是否完好，发现问题及时报修；巡查办公楼是否有可疑人员。做好巡视记录、交接班记录，各项制度齐全。</w:t>
                  </w:r>
                  <w:r>
                    <w:br/>
                  </w:r>
                  <w:r>
                    <w:rPr>
                      <w:rFonts w:ascii="仿宋_GB2312" w:hAnsi="仿宋_GB2312" w:cs="仿宋_GB2312" w:eastAsia="仿宋_GB2312"/>
                      <w:sz w:val="19"/>
                      <w:color w:val="000000"/>
                    </w:rPr>
                    <w:t xml:space="preserve"> 6、建立健全各种应急处理预案。</w:t>
                  </w:r>
                </w:p>
              </w:tc>
            </w:tr>
            <w:tr>
              <w:tc>
                <w:tcPr>
                  <w:tcW w:type="dxa" w:w="8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21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保洁服务</w:t>
                  </w:r>
                </w:p>
              </w:tc>
              <w:tc>
                <w:tcPr>
                  <w:tcW w:type="dxa" w:w="135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1、楼层公共区域服务内容：楼内餐厅（不包含食堂操作间）、门厅、走廊通道、垃圾桶、公共卫生间、安全楼梯、电梯厅及轿厢的保洁服务。</w:t>
                  </w:r>
                  <w:r>
                    <w:br/>
                  </w:r>
                  <w:r>
                    <w:rPr>
                      <w:rFonts w:ascii="仿宋_GB2312" w:hAnsi="仿宋_GB2312" w:cs="仿宋_GB2312" w:eastAsia="仿宋_GB2312"/>
                      <w:sz w:val="19"/>
                      <w:color w:val="000000"/>
                    </w:rPr>
                    <w:t xml:space="preserve"> 2、室外保洁服务内容：室外地面、栏杆、灯具、标识、宣传牌、信报箱、道路、行人道、行车道和大门外包干区域的保洁服务。</w:t>
                  </w:r>
                  <w:r>
                    <w:br/>
                  </w:r>
                  <w:r>
                    <w:rPr>
                      <w:rFonts w:ascii="仿宋_GB2312" w:hAnsi="仿宋_GB2312" w:cs="仿宋_GB2312" w:eastAsia="仿宋_GB2312"/>
                      <w:sz w:val="19"/>
                      <w:color w:val="000000"/>
                    </w:rPr>
                    <w:t xml:space="preserve"> 3、垃圾处理：收集垃圾至采购方指定垃圾集中点，由采购方安排专业垃圾清运公司运输至项目外。</w:t>
                  </w:r>
                  <w:r>
                    <w:br/>
                  </w:r>
                  <w:r>
                    <w:rPr>
                      <w:rFonts w:ascii="仿宋_GB2312" w:hAnsi="仿宋_GB2312" w:cs="仿宋_GB2312" w:eastAsia="仿宋_GB2312"/>
                      <w:sz w:val="19"/>
                      <w:color w:val="000000"/>
                    </w:rPr>
                    <w:t xml:space="preserve"> 4、做好环境美化及消杀工作。</w:t>
                  </w:r>
                </w:p>
              </w:tc>
            </w:tr>
            <w:tr>
              <w:tc>
                <w:tcPr>
                  <w:tcW w:type="dxa" w:w="8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21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绿化服务</w:t>
                  </w:r>
                </w:p>
              </w:tc>
              <w:tc>
                <w:tcPr>
                  <w:tcW w:type="dxa" w:w="135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1、绿化区域：渭南市中级人民法院范围内绿植覆盖区域</w:t>
                  </w:r>
                  <w:r>
                    <w:br/>
                  </w:r>
                  <w:r>
                    <w:rPr>
                      <w:rFonts w:ascii="仿宋_GB2312" w:hAnsi="仿宋_GB2312" w:cs="仿宋_GB2312" w:eastAsia="仿宋_GB2312"/>
                      <w:sz w:val="19"/>
                      <w:color w:val="000000"/>
                    </w:rPr>
                    <w:t xml:space="preserve"> 2、绿化养护内容：各种绿植修剪及时、形状美观、树木生长良好，不缺肥、不缺水、无明显病害；花坛植被边缘整洁，绿化带无杂草丛生情况。</w:t>
                  </w:r>
                  <w:r>
                    <w:br/>
                  </w:r>
                  <w:r>
                    <w:rPr>
                      <w:rFonts w:ascii="仿宋_GB2312" w:hAnsi="仿宋_GB2312" w:cs="仿宋_GB2312" w:eastAsia="仿宋_GB2312"/>
                      <w:sz w:val="19"/>
                      <w:color w:val="000000"/>
                    </w:rPr>
                    <w:t xml:space="preserve"> 3、服务要求：定期拔草、浇灌，制定合理的绿化养护修剪方案，明确树种修剪、打药安排并认真落实。</w:t>
                  </w:r>
                </w:p>
              </w:tc>
            </w:tr>
            <w:tr>
              <w:tc>
                <w:tcPr>
                  <w:tcW w:type="dxa" w:w="8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21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水电维护服务</w:t>
                  </w:r>
                </w:p>
              </w:tc>
              <w:tc>
                <w:tcPr>
                  <w:tcW w:type="dxa" w:w="135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1、负责渭南市中级人民法院内的水电日常维护工作。</w:t>
                  </w:r>
                  <w:r>
                    <w:br/>
                  </w:r>
                  <w:r>
                    <w:rPr>
                      <w:rFonts w:ascii="仿宋_GB2312" w:hAnsi="仿宋_GB2312" w:cs="仿宋_GB2312" w:eastAsia="仿宋_GB2312"/>
                      <w:sz w:val="19"/>
                      <w:color w:val="000000"/>
                    </w:rPr>
                    <w:t xml:space="preserve"> 2、日常检查院落、停车场、天台、楼内公共区域、水电房的设施设备，做到随时检查，即坏即修，要求整洁、安全，无乱堆乱放（空调、暖气、电梯、消防设施设备除外）。</w:t>
                  </w:r>
                  <w:r>
                    <w:br/>
                  </w:r>
                  <w:r>
                    <w:rPr>
                      <w:rFonts w:ascii="仿宋_GB2312" w:hAnsi="仿宋_GB2312" w:cs="仿宋_GB2312" w:eastAsia="仿宋_GB2312"/>
                      <w:sz w:val="19"/>
                      <w:color w:val="000000"/>
                    </w:rPr>
                    <w:t xml:space="preserve"> 3、供水、供电设备严格按国家规范管理，符合国家标准，运行状况良好，确保供水、供电系统的正常运行。供水、供电设备小维修及时修理，中大型维修由采购方联系设备售后维修。</w:t>
                  </w:r>
                  <w:r>
                    <w:br/>
                  </w:r>
                  <w:r>
                    <w:rPr>
                      <w:rFonts w:ascii="仿宋_GB2312" w:hAnsi="仿宋_GB2312" w:cs="仿宋_GB2312" w:eastAsia="仿宋_GB2312"/>
                      <w:sz w:val="19"/>
                      <w:color w:val="000000"/>
                    </w:rPr>
                    <w:t xml:space="preserve"> 4、按照供电局规定做好停、送电及线路切换工作，保障正常用电。</w:t>
                  </w:r>
                  <w:r>
                    <w:br/>
                  </w:r>
                  <w:r>
                    <w:rPr>
                      <w:rFonts w:ascii="仿宋_GB2312" w:hAnsi="仿宋_GB2312" w:cs="仿宋_GB2312" w:eastAsia="仿宋_GB2312"/>
                      <w:sz w:val="19"/>
                      <w:color w:val="000000"/>
                    </w:rPr>
                    <w:t xml:space="preserve"> 5、其他</w:t>
                  </w:r>
                  <w:r>
                    <w:br/>
                  </w:r>
                  <w:r>
                    <w:rPr>
                      <w:rFonts w:ascii="仿宋_GB2312" w:hAnsi="仿宋_GB2312" w:cs="仿宋_GB2312" w:eastAsia="仿宋_GB2312"/>
                      <w:sz w:val="19"/>
                      <w:color w:val="000000"/>
                    </w:rPr>
                    <w:t xml:space="preserve"> （1）牢固树立安全意识，不断加强业务学习，持证上岗。</w:t>
                  </w:r>
                  <w:r>
                    <w:br/>
                  </w:r>
                  <w:r>
                    <w:rPr>
                      <w:rFonts w:ascii="仿宋_GB2312" w:hAnsi="仿宋_GB2312" w:cs="仿宋_GB2312" w:eastAsia="仿宋_GB2312"/>
                      <w:sz w:val="19"/>
                      <w:color w:val="000000"/>
                    </w:rPr>
                    <w:t xml:space="preserve"> （2）确保公共配套的供水、供电、照明等设备正常运行。</w:t>
                  </w:r>
                </w:p>
              </w:tc>
            </w:tr>
            <w:tr>
              <w:tc>
                <w:tcPr>
                  <w:tcW w:type="dxa" w:w="8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21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会议服务</w:t>
                  </w:r>
                </w:p>
              </w:tc>
              <w:tc>
                <w:tcPr>
                  <w:tcW w:type="dxa" w:w="135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1、负责所有会议迎宾、加水等会议保障。</w:t>
                  </w:r>
                  <w:r>
                    <w:br/>
                  </w:r>
                  <w:r>
                    <w:rPr>
                      <w:rFonts w:ascii="仿宋_GB2312" w:hAnsi="仿宋_GB2312" w:cs="仿宋_GB2312" w:eastAsia="仿宋_GB2312"/>
                      <w:sz w:val="19"/>
                      <w:color w:val="000000"/>
                    </w:rPr>
                    <w:t xml:space="preserve"> 2、物业办公室接听服务电话、配合其他工作。</w:t>
                  </w:r>
                  <w:r>
                    <w:br/>
                  </w:r>
                  <w:r>
                    <w:rPr>
                      <w:rFonts w:ascii="仿宋_GB2312" w:hAnsi="仿宋_GB2312" w:cs="仿宋_GB2312" w:eastAsia="仿宋_GB2312"/>
                      <w:sz w:val="19"/>
                      <w:color w:val="000000"/>
                    </w:rPr>
                    <w:t xml:space="preserve"> 3、协助项目经理管理各岗位工作。</w:t>
                  </w:r>
                </w:p>
              </w:tc>
            </w:tr>
            <w:tr>
              <w:tc>
                <w:tcPr>
                  <w:tcW w:type="dxa" w:w="8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21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理发服务</w:t>
                  </w:r>
                </w:p>
              </w:tc>
              <w:tc>
                <w:tcPr>
                  <w:tcW w:type="dxa" w:w="135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1、指派专业的理发师，负责为干警理发的服务。</w:t>
                  </w:r>
                  <w:r>
                    <w:br/>
                  </w:r>
                  <w:r>
                    <w:rPr>
                      <w:rFonts w:ascii="仿宋_GB2312" w:hAnsi="仿宋_GB2312" w:cs="仿宋_GB2312" w:eastAsia="仿宋_GB2312"/>
                      <w:sz w:val="19"/>
                      <w:color w:val="000000"/>
                    </w:rPr>
                    <w:t xml:space="preserve"> 2、遵守国家卫生法规和服务行业卫生标准，严格疫情防控要求，室内定期进行通风，每日消杀不少于2次，工作人员必须搞好个人卫生，每年体检一次。</w:t>
                  </w:r>
                  <w:r>
                    <w:br/>
                  </w:r>
                  <w:r>
                    <w:rPr>
                      <w:rFonts w:ascii="仿宋_GB2312" w:hAnsi="仿宋_GB2312" w:cs="仿宋_GB2312" w:eastAsia="仿宋_GB2312"/>
                      <w:sz w:val="19"/>
                      <w:color w:val="000000"/>
                    </w:rPr>
                    <w:t xml:space="preserve"> 3、工作人员应当穿戴工作服，服务热情，诚恳待人，不得做与理发无关的事情。</w:t>
                  </w:r>
                  <w:r>
                    <w:br/>
                  </w:r>
                  <w:r>
                    <w:rPr>
                      <w:rFonts w:ascii="仿宋_GB2312" w:hAnsi="仿宋_GB2312" w:cs="仿宋_GB2312" w:eastAsia="仿宋_GB2312"/>
                      <w:sz w:val="19"/>
                      <w:color w:val="000000"/>
                    </w:rPr>
                    <w:t xml:space="preserve"> 4、严格按时上下班，每周一、三、五的8:30-12:00，14:00-17:30（夏季15:00-17:30）为工作时间。双休日和节假日根据单位工作需要视情加班。</w:t>
                  </w:r>
                </w:p>
              </w:tc>
            </w:tr>
            <w:tr>
              <w:tc>
                <w:tcPr>
                  <w:tcW w:type="dxa" w:w="8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w:t>
                  </w:r>
                </w:p>
              </w:tc>
              <w:tc>
                <w:tcPr>
                  <w:tcW w:type="dxa" w:w="21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洗衣服务</w:t>
                  </w:r>
                </w:p>
              </w:tc>
              <w:tc>
                <w:tcPr>
                  <w:tcW w:type="dxa" w:w="135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1、负责干警制服的洗涤工作。</w:t>
                  </w:r>
                  <w:r>
                    <w:br/>
                  </w:r>
                  <w:r>
                    <w:rPr>
                      <w:rFonts w:ascii="仿宋_GB2312" w:hAnsi="仿宋_GB2312" w:cs="仿宋_GB2312" w:eastAsia="仿宋_GB2312"/>
                      <w:sz w:val="19"/>
                      <w:color w:val="000000"/>
                    </w:rPr>
                    <w:t xml:space="preserve"> 2、按时上下班，不迟到早退，不擅自离开岗脱岗，上班时间不得做与工作无关之事。</w:t>
                  </w:r>
                  <w:r>
                    <w:br/>
                  </w:r>
                  <w:r>
                    <w:rPr>
                      <w:rFonts w:ascii="仿宋_GB2312" w:hAnsi="仿宋_GB2312" w:cs="仿宋_GB2312" w:eastAsia="仿宋_GB2312"/>
                      <w:sz w:val="19"/>
                      <w:color w:val="000000"/>
                    </w:rPr>
                    <w:t xml:space="preserve"> 3、遵守安全操作规程，精心爱护设备，认真擦拭设备外表，及时清理内桶、门封、滤网等，保持机体内外清洁卫生和操作安全。</w:t>
                  </w:r>
                  <w:r>
                    <w:br/>
                  </w:r>
                  <w:r>
                    <w:rPr>
                      <w:rFonts w:ascii="仿宋_GB2312" w:hAnsi="仿宋_GB2312" w:cs="仿宋_GB2312" w:eastAsia="仿宋_GB2312"/>
                      <w:sz w:val="19"/>
                      <w:color w:val="000000"/>
                    </w:rPr>
                    <w:t xml:space="preserve"> 4、每天下班前清理卫生，保持地面无积水，室内干净无异味。每周五开展一次大扫除，保持室内清洁无尘。</w:t>
                  </w:r>
                  <w:r>
                    <w:br/>
                  </w:r>
                  <w:r>
                    <w:rPr>
                      <w:rFonts w:ascii="仿宋_GB2312" w:hAnsi="仿宋_GB2312" w:cs="仿宋_GB2312" w:eastAsia="仿宋_GB2312"/>
                      <w:sz w:val="19"/>
                      <w:color w:val="000000"/>
                    </w:rPr>
                    <w:t xml:space="preserve"> 5、熟悉电源、水源开关位置，遇到险情沉着冷静应对，及时采取措施合理处置。洗衣房不得存放易燃易爆物品，严禁吸烟，严禁私接电源。</w:t>
                  </w:r>
                </w:p>
              </w:tc>
            </w:tr>
          </w:tbl>
          <w:p>
            <w:pPr>
              <w:pStyle w:val="null3"/>
            </w:pPr>
            <w:r>
              <w:rPr>
                <w:rFonts w:ascii="仿宋_GB2312" w:hAnsi="仿宋_GB2312" w:cs="仿宋_GB2312" w:eastAsia="仿宋_GB2312"/>
              </w:rPr>
              <w:t xml:space="preserve"> </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详见3.2.2服务要求。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详见3.2.2服务要求。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详见3.2.2服务要求。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一年。服务期满后，经验收考核合格，可续签一年。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陕西省渭南市临渭区渭河大街73号渭南市中级人民法院</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所提供服务人员数量、岗位类型、服务质量符合采购文件供应商投标承诺及采购合同约定的要求。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一月份物业服务费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二月份物业服务费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三月份物业服务费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四月份物业服务费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五月份物业服务费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六月份物业服务费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七月份物业服务费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八月份物业服务费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九月份物业服务费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8.34</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十月份物业服务费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8.34</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十一月份物业服务费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8.34</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十二月份物业服务费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8.34</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提供有效存续的企业营业执照（副本）/事业单位法人证书/专业服务机构执业许可证/民办非企业单位登记证书。</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供应商为法人单位的）法定代表人亲自参加时，须提供本人身份证复印件；法定代表人授权他人参加时，须提供法定代表人委托授权书及授权代表身份证。（供应商为非法人单位的）响应文件中凡是需要法定代表人签字或盖章之处，非法人单位的负责人均参照执行；法人的分支机构参与时，响应文件中应附法人给分支机构出具的授权书。授权书附在《法定代表人授权委托书》后，如无授权，将被视为无效文件。法人只能授权一家分支机构参与，且不能与分支机构同时参与。</w:t>
            </w:r>
          </w:p>
        </w:tc>
        <w:tc>
          <w:tcPr>
            <w:tcW w:type="dxa" w:w="1661"/>
          </w:tcPr>
          <w:p>
            <w:pPr>
              <w:pStyle w:val="null3"/>
            </w:pPr>
            <w:r>
              <w:rPr>
                <w:rFonts w:ascii="仿宋_GB2312" w:hAnsi="仿宋_GB2312" w:cs="仿宋_GB2312" w:eastAsia="仿宋_GB2312"/>
              </w:rPr>
              <w:t>法定代表人证明书或授权委托书.docx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财务状况报告（以下两种资料提供任意一种即可）</w:t>
            </w:r>
          </w:p>
        </w:tc>
        <w:tc>
          <w:tcPr>
            <w:tcW w:type="dxa" w:w="3322"/>
          </w:tcPr>
          <w:p>
            <w:pPr>
              <w:pStyle w:val="null3"/>
            </w:pPr>
            <w:r>
              <w:rPr>
                <w:rFonts w:ascii="仿宋_GB2312" w:hAnsi="仿宋_GB2312" w:cs="仿宋_GB2312" w:eastAsia="仿宋_GB2312"/>
              </w:rPr>
              <w:t>（1）提供具有财务审计资质单位出具的2024年或2025年度财务报告（包括“四表一注”，即资产负债表、利润表、现金流量表、所有者权益变动表及其附注，符合《中小企业划型标准规定》的小型企业按照《小企业会计准则》执行。成立时间至提交响应文件截止时间不足一年的可提供成立后任意时段的资产负债表，审计报告须具有注册会计师行业统一监管平台赋予的验证码； （2）其开标前六个月内基本开户银行出具的资信证明。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提供响应文件截止之日前一年内任意一个月的依法缴纳税收的完税证明，完税证明应有税务机关或代收机关的公章或业务章。依法免税的、依法不需要缴纳社会保障资金的应提供相关文件证明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提供递交响应文件截止之日前一年内任意一个月的社会保障资金缴存单据或社保机构开具的社会保险参保缴费情况证明。依法不需要缴纳社会保障资金的供应商应提供相关证明文件。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提供《供应商信用记录书面声明函》。经查，投标人未被列入“信用中国”网站记录的“失信被执行人”或“重大税收违法案件当事人”名单；不处于“中国政府采购网”记录的“政府采购严重违法失信行为记录名单”中的禁止参加政府采购活动期间。</w:t>
            </w:r>
          </w:p>
        </w:tc>
        <w:tc>
          <w:tcPr>
            <w:tcW w:type="dxa" w:w="1661"/>
          </w:tcPr>
          <w:p>
            <w:pPr>
              <w:pStyle w:val="null3"/>
            </w:pPr>
            <w:r>
              <w:rPr>
                <w:rFonts w:ascii="仿宋_GB2312" w:hAnsi="仿宋_GB2312" w:cs="仿宋_GB2312" w:eastAsia="仿宋_GB2312"/>
              </w:rPr>
              <w:t>信用记录声明.docx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投标人应提供《非联合体不分包投标声明》，视为独立投标，不分包。</w:t>
            </w:r>
          </w:p>
        </w:tc>
        <w:tc>
          <w:tcPr>
            <w:tcW w:type="dxa" w:w="1661"/>
          </w:tcPr>
          <w:p>
            <w:pPr>
              <w:pStyle w:val="null3"/>
            </w:pPr>
            <w:r>
              <w:rPr>
                <w:rFonts w:ascii="仿宋_GB2312" w:hAnsi="仿宋_GB2312" w:cs="仿宋_GB2312" w:eastAsia="仿宋_GB2312"/>
              </w:rPr>
              <w:t>非联合体不分包投标声明.docx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参与的供应商应为中型企业、小型企业、微型企业或监狱企业或残疾人福利性单位。供应商为中小企业的，提供《中小企业声明函》，且中小企业的划分标准所属行业为物业管理；为监狱企业的，应提供监狱企业的证明文件；为残疾人福利性单位的，应提供《残疾人福利性单位声明函》（监狱企业或残疾人福利性单位视同小型、微型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响应文件项目名称、项目编号</w:t>
            </w:r>
          </w:p>
        </w:tc>
        <w:tc>
          <w:tcPr>
            <w:tcW w:type="dxa" w:w="3322"/>
          </w:tcPr>
          <w:p>
            <w:pPr>
              <w:pStyle w:val="null3"/>
            </w:pPr>
            <w:r>
              <w:rPr>
                <w:rFonts w:ascii="仿宋_GB2312" w:hAnsi="仿宋_GB2312" w:cs="仿宋_GB2312" w:eastAsia="仿宋_GB2312"/>
              </w:rPr>
              <w:t>响应文件以下三处的项目名称、项目编号无遗漏，且与本项目一致： （1）封面； （2）投标函； （3）法定代表人委托授权书。 说明：以投标邀请函中的项目名称、项目编号为准。</w:t>
            </w:r>
          </w:p>
        </w:tc>
        <w:tc>
          <w:tcPr>
            <w:tcW w:type="dxa" w:w="1661"/>
          </w:tcPr>
          <w:p>
            <w:pPr>
              <w:pStyle w:val="null3"/>
            </w:pPr>
            <w:r>
              <w:rPr>
                <w:rFonts w:ascii="仿宋_GB2312" w:hAnsi="仿宋_GB2312" w:cs="仿宋_GB2312" w:eastAsia="仿宋_GB2312"/>
              </w:rPr>
              <w:t>法定代表人证明书或授权委托书.docx 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签字、盖章符合投标文件要求，且无遗漏。</w:t>
            </w:r>
          </w:p>
        </w:tc>
        <w:tc>
          <w:tcPr>
            <w:tcW w:type="dxa" w:w="1661"/>
          </w:tcPr>
          <w:p>
            <w:pPr>
              <w:pStyle w:val="null3"/>
            </w:pPr>
            <w:r>
              <w:rPr>
                <w:rFonts w:ascii="仿宋_GB2312" w:hAnsi="仿宋_GB2312" w:cs="仿宋_GB2312" w:eastAsia="仿宋_GB2312"/>
              </w:rPr>
              <w:t>开标一览表 服务内容及服务邀请应答表 业绩证明.docx 中小企业声明函 商务应答表 供应商承诺书（一）（二）.docx 非联合体不分包投标声明.docx 投标人应提交的相关资格证明材料 信用记录声明.docx 合同文本.docx 法定代表人证明书或授权委托书.docx 投标函 人员方案等.docx 残疾人福利性单位声明函 服务方案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符合投标文件的要求。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报价未超出采购预算或投标文件规定的最高限价。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完全理解并接受招标文件合同条款的要求。</w:t>
            </w:r>
          </w:p>
        </w:tc>
        <w:tc>
          <w:tcPr>
            <w:tcW w:type="dxa" w:w="1661"/>
          </w:tcPr>
          <w:p>
            <w:pPr>
              <w:pStyle w:val="null3"/>
            </w:pPr>
            <w:r>
              <w:rPr>
                <w:rFonts w:ascii="仿宋_GB2312" w:hAnsi="仿宋_GB2312" w:cs="仿宋_GB2312" w:eastAsia="仿宋_GB2312"/>
              </w:rPr>
              <w:t>合同文本.docx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投标人承诺</w:t>
            </w:r>
          </w:p>
        </w:tc>
        <w:tc>
          <w:tcPr>
            <w:tcW w:type="dxa" w:w="3322"/>
          </w:tcPr>
          <w:p>
            <w:pPr>
              <w:pStyle w:val="null3"/>
            </w:pPr>
            <w:r>
              <w:rPr>
                <w:rFonts w:ascii="仿宋_GB2312" w:hAnsi="仿宋_GB2312" w:cs="仿宋_GB2312" w:eastAsia="仿宋_GB2312"/>
              </w:rPr>
              <w:t>完全理解并接受《质量安全责任承诺书》、《拒绝政府采购领域商业贿赂承诺书》。</w:t>
            </w:r>
          </w:p>
        </w:tc>
        <w:tc>
          <w:tcPr>
            <w:tcW w:type="dxa" w:w="1661"/>
          </w:tcPr>
          <w:p>
            <w:pPr>
              <w:pStyle w:val="null3"/>
            </w:pPr>
            <w:r>
              <w:rPr>
                <w:rFonts w:ascii="仿宋_GB2312" w:hAnsi="仿宋_GB2312" w:cs="仿宋_GB2312" w:eastAsia="仿宋_GB2312"/>
              </w:rPr>
              <w:t>供应商承诺书（一）（二）.docx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服务方案-总体服务方案</w:t>
            </w:r>
          </w:p>
        </w:tc>
        <w:tc>
          <w:tcPr>
            <w:tcW w:type="dxa" w:w="2492"/>
          </w:tcPr>
          <w:p>
            <w:pPr>
              <w:pStyle w:val="null3"/>
            </w:pPr>
            <w:r>
              <w:rPr>
                <w:rFonts w:ascii="仿宋_GB2312" w:hAnsi="仿宋_GB2312" w:cs="仿宋_GB2312" w:eastAsia="仿宋_GB2312"/>
              </w:rPr>
              <w:t>总体服务方案：提供针对本项目的物业服务总方案，内容完整，服务理念创新，安全措施得当，本项目重点、难点分析，具有可行性强，根据响应程度计得0-5分。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服务方案-分项服务方案</w:t>
            </w:r>
          </w:p>
        </w:tc>
        <w:tc>
          <w:tcPr>
            <w:tcW w:type="dxa" w:w="2492"/>
          </w:tcPr>
          <w:p>
            <w:pPr>
              <w:pStyle w:val="null3"/>
            </w:pPr>
            <w:r>
              <w:rPr>
                <w:rFonts w:ascii="仿宋_GB2312" w:hAnsi="仿宋_GB2312" w:cs="仿宋_GB2312" w:eastAsia="仿宋_GB2312"/>
              </w:rPr>
              <w:t>1.秩序维护服务方案：针对本项目的楼宇值班、巡查服务范围（日常秩序的维护、门岗值班、出入管理）制定具体、可行、科学、合理的管理方案。根据方案的科学性、合理性、可操作性综合评审，根据响应程度，得0-5分； 2.保洁绿化服务方案：提供针对本项目服务区域内清扫、擦洗、清理、维护、消杀绿化养护等服务方案。根据方案的全面性、完整性、可操作性，根据响应程度，得0-5分； 3.水电维护服务方案：针对本项目的设施设备维护制定全面可行的服务方案，根据方案的科学性、合理性、可操作性综合评审，根据响应程度，得0-4分； 4.会议服务方案：针对本项目的会务服务制定全面可行的服务方案，根据方案的科学性、合理性、可操作性综合评审，根据响应程度，得0-4分； 5.理发服务方案：针对本项目的理发服务制定全面可行的服务方案，根据方案的科学性、合理性、可操作性综合评审，根据响应程度，得0-4分； 6.洗衣服务方案：针对本项目的洗衣服务制定全面可行的服务方案，根据方案的科学性、合理性、可操作性综合评审，根据响应程度，得0-4分。</w:t>
            </w:r>
          </w:p>
        </w:tc>
        <w:tc>
          <w:tcPr>
            <w:tcW w:type="dxa" w:w="831"/>
          </w:tcPr>
          <w:p>
            <w:pPr>
              <w:pStyle w:val="null3"/>
              <w:jc w:val="right"/>
            </w:pPr>
            <w:r>
              <w:rPr>
                <w:rFonts w:ascii="仿宋_GB2312" w:hAnsi="仿宋_GB2312" w:cs="仿宋_GB2312" w:eastAsia="仿宋_GB2312"/>
              </w:rPr>
              <w:t>26.0000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服务方案-项目管理</w:t>
            </w:r>
          </w:p>
        </w:tc>
        <w:tc>
          <w:tcPr>
            <w:tcW w:type="dxa" w:w="2492"/>
          </w:tcPr>
          <w:p>
            <w:pPr>
              <w:pStyle w:val="null3"/>
            </w:pPr>
            <w:r>
              <w:rPr>
                <w:rFonts w:ascii="仿宋_GB2312" w:hAnsi="仿宋_GB2312" w:cs="仿宋_GB2312" w:eastAsia="仿宋_GB2312"/>
              </w:rPr>
              <w:t>1.机构建设（共6分）：（提供针对本项目拟定的管理机构、管理运行模式、岗位职责制度、工人工资劳保福利保障措施、作业安全措施等）根据响应程度计0-6分； 2.管理制度（共7分）：（1）具有岗位工作标准、服务质量标准、作业流程等方面，根据响应优劣程度计1-2分；（2）企业具备质量管理体系认证，根据响应优劣程度计1-2分；（3）具有自查制度、内控制度、具有员工日常管理办法、请销假制度、奖惩措施等制度，根据响应优劣程度计0-3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服务方案-培训考核</w:t>
            </w:r>
          </w:p>
        </w:tc>
        <w:tc>
          <w:tcPr>
            <w:tcW w:type="dxa" w:w="2492"/>
          </w:tcPr>
          <w:p>
            <w:pPr>
              <w:pStyle w:val="null3"/>
            </w:pPr>
            <w:r>
              <w:rPr>
                <w:rFonts w:ascii="仿宋_GB2312" w:hAnsi="仿宋_GB2312" w:cs="仿宋_GB2312" w:eastAsia="仿宋_GB2312"/>
              </w:rPr>
              <w:t>培训考核（共4分）：针对采购要求，提出科学合理、可操作性强的培训计划，包括但不限于详细列出针对本项目全过程的培训计划，制定具体可行的培训考核方案。（1）针对不同的岗位开展岗前培训计划、安全知识培训、应急知识培训以及定期的常态化岗位知识培训计划等，得0-2分；（2）培训后进行学习成果验收和考核，具有完善的人员培训考核方案和考核管理制度，根据方案制度的可操作性，得0-2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服务方案-质量控制</w:t>
            </w:r>
          </w:p>
        </w:tc>
        <w:tc>
          <w:tcPr>
            <w:tcW w:type="dxa" w:w="2492"/>
          </w:tcPr>
          <w:p>
            <w:pPr>
              <w:pStyle w:val="null3"/>
            </w:pPr>
            <w:r>
              <w:rPr>
                <w:rFonts w:ascii="仿宋_GB2312" w:hAnsi="仿宋_GB2312" w:cs="仿宋_GB2312" w:eastAsia="仿宋_GB2312"/>
              </w:rPr>
              <w:t>质量控制（共4分）：物业服务过程中的质量控制措施和预期达到的服务标准根据响应优劣程度计0-4分。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服务方案-人员力量</w:t>
            </w:r>
          </w:p>
        </w:tc>
        <w:tc>
          <w:tcPr>
            <w:tcW w:type="dxa" w:w="2492"/>
          </w:tcPr>
          <w:p>
            <w:pPr>
              <w:pStyle w:val="null3"/>
            </w:pPr>
            <w:r>
              <w:rPr>
                <w:rFonts w:ascii="仿宋_GB2312" w:hAnsi="仿宋_GB2312" w:cs="仿宋_GB2312" w:eastAsia="仿宋_GB2312"/>
              </w:rPr>
              <w:t>人员力量（共6分）： 1.拟派本项目的项目经理具备大专以上学历计0.5分，持有项目经理证书计0.5分，具有2年以上综合物业服务管理工作经验且能够提供相关工作证明材料计0.5分；能够提供拟派项目经理近2年企业缴纳养老保险证明材料计0.5分，共计2分.2.除项目经理外的拟派人员能提供合法有效期内的保安证、健康证、电工证的，计2分，缺一个证扣0.05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人员方案等.docx</w:t>
            </w:r>
          </w:p>
        </w:tc>
      </w:tr>
      <w:tr>
        <w:tc>
          <w:tcPr>
            <w:tcW w:type="dxa" w:w="831"/>
            <w:vMerge/>
          </w:tcPr>
          <w:p/>
        </w:tc>
        <w:tc>
          <w:tcPr>
            <w:tcW w:type="dxa" w:w="1661"/>
          </w:tcPr>
          <w:p>
            <w:pPr>
              <w:pStyle w:val="null3"/>
            </w:pPr>
            <w:r>
              <w:rPr>
                <w:rFonts w:ascii="仿宋_GB2312" w:hAnsi="仿宋_GB2312" w:cs="仿宋_GB2312" w:eastAsia="仿宋_GB2312"/>
              </w:rPr>
              <w:t>服务方案-作业工具</w:t>
            </w:r>
          </w:p>
        </w:tc>
        <w:tc>
          <w:tcPr>
            <w:tcW w:type="dxa" w:w="2492"/>
          </w:tcPr>
          <w:p>
            <w:pPr>
              <w:pStyle w:val="null3"/>
            </w:pPr>
            <w:r>
              <w:rPr>
                <w:rFonts w:ascii="仿宋_GB2312" w:hAnsi="仿宋_GB2312" w:cs="仿宋_GB2312" w:eastAsia="仿宋_GB2312"/>
              </w:rPr>
              <w:t>作业工具（共4分）：提供为满足本次物业服务拟购置的生产工具及作业消耗用品（提供清单格式自拟）根据名称、数量、制造商、功能描述等内容综合评价根据响应程度计0-4分。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服务方案-档案管理</w:t>
            </w:r>
          </w:p>
        </w:tc>
        <w:tc>
          <w:tcPr>
            <w:tcW w:type="dxa" w:w="2492"/>
          </w:tcPr>
          <w:p>
            <w:pPr>
              <w:pStyle w:val="null3"/>
            </w:pPr>
            <w:r>
              <w:rPr>
                <w:rFonts w:ascii="仿宋_GB2312" w:hAnsi="仿宋_GB2312" w:cs="仿宋_GB2312" w:eastAsia="仿宋_GB2312"/>
              </w:rPr>
              <w:t>档案管理（共3分）：供应商针对各岗位职责范围内产生的资料、具有合理的规划、保管和移交措施的，根据响应情况综合评审，得0-3分。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服务保障</w:t>
            </w:r>
          </w:p>
        </w:tc>
        <w:tc>
          <w:tcPr>
            <w:tcW w:type="dxa" w:w="2492"/>
          </w:tcPr>
          <w:p>
            <w:pPr>
              <w:pStyle w:val="null3"/>
            </w:pPr>
            <w:r>
              <w:rPr>
                <w:rFonts w:ascii="仿宋_GB2312" w:hAnsi="仿宋_GB2312" w:cs="仿宋_GB2312" w:eastAsia="仿宋_GB2312"/>
              </w:rPr>
              <w:t>1.突发应急预案(共7分)：提供突发应急预案，主要包括意外伤害、风险规避措施、时效性、有效性、可行性、针对性。 （1）遇突发事件及时响应并处理，处理措施妥当，能够避免损失，计0-4分； （2）有服务质量保障措施，对服务态度、物业服务质量较差的人员有具体处罚管理制度。按其响应程度计0-3分，未提供不计分。 2.节假日服务保障措施、重大活动服务保障措施。根据供应商提供的方案响应程度，得0-3分，未提供不计分。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提供供应商2023年1月至今同类项目的业绩证明文件(提供中标通知书及合同复印件加盖公章),每出具1份得2分，总分10分；未提供业绩不得分。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投标人的价格分统一按照下列公式计算： 投标报价得分=（评标基准价/投标报价）×价格权值%×100。 评标基准价=各供应商报价中的最低价</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详见附件：法定代表人证明书或授权委托书.docx</w:t>
      </w:r>
    </w:p>
    <w:p>
      <w:pPr>
        <w:pStyle w:val="null3"/>
        <w:ind w:firstLine="960"/>
      </w:pPr>
      <w:r>
        <w:rPr>
          <w:rFonts w:ascii="仿宋_GB2312" w:hAnsi="仿宋_GB2312" w:cs="仿宋_GB2312" w:eastAsia="仿宋_GB2312"/>
        </w:rPr>
        <w:t>详见附件：信用记录声明.docx</w:t>
      </w:r>
    </w:p>
    <w:p>
      <w:pPr>
        <w:pStyle w:val="null3"/>
        <w:ind w:firstLine="960"/>
      </w:pPr>
      <w:r>
        <w:rPr>
          <w:rFonts w:ascii="仿宋_GB2312" w:hAnsi="仿宋_GB2312" w:cs="仿宋_GB2312" w:eastAsia="仿宋_GB2312"/>
        </w:rPr>
        <w:t>详见附件：非联合体不分包投标声明.docx</w:t>
      </w:r>
    </w:p>
    <w:p>
      <w:pPr>
        <w:pStyle w:val="null3"/>
        <w:ind w:firstLine="960"/>
      </w:pPr>
      <w:r>
        <w:rPr>
          <w:rFonts w:ascii="仿宋_GB2312" w:hAnsi="仿宋_GB2312" w:cs="仿宋_GB2312" w:eastAsia="仿宋_GB2312"/>
        </w:rPr>
        <w:t>详见附件：合同文本.docx</w:t>
      </w:r>
    </w:p>
    <w:p>
      <w:pPr>
        <w:pStyle w:val="null3"/>
        <w:ind w:firstLine="960"/>
      </w:pPr>
      <w:r>
        <w:rPr>
          <w:rFonts w:ascii="仿宋_GB2312" w:hAnsi="仿宋_GB2312" w:cs="仿宋_GB2312" w:eastAsia="仿宋_GB2312"/>
        </w:rPr>
        <w:t>详见附件：供应商承诺书（一）（二）.docx</w:t>
      </w:r>
    </w:p>
    <w:p>
      <w:pPr>
        <w:pStyle w:val="null3"/>
        <w:ind w:firstLine="960"/>
      </w:pPr>
      <w:r>
        <w:rPr>
          <w:rFonts w:ascii="仿宋_GB2312" w:hAnsi="仿宋_GB2312" w:cs="仿宋_GB2312" w:eastAsia="仿宋_GB2312"/>
        </w:rPr>
        <w:t>详见附件：业绩证明.docx</w:t>
      </w:r>
    </w:p>
    <w:p>
      <w:pPr>
        <w:pStyle w:val="null3"/>
        <w:ind w:firstLine="960"/>
      </w:pPr>
      <w:r>
        <w:rPr>
          <w:rFonts w:ascii="仿宋_GB2312" w:hAnsi="仿宋_GB2312" w:cs="仿宋_GB2312" w:eastAsia="仿宋_GB2312"/>
        </w:rPr>
        <w:t>详见附件：人员方案等.docx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详见附件：渭南市中级人民法院合同文本.docx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