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版本号：ZCSP-渭南市-2026-0005720260413001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渭南市体育中心楼宇亮化设施检查维修项目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ZCSP-渭南市-2026-00057</w:t>
      </w:r>
      <w:r>
        <w:br/>
      </w:r>
      <w:r>
        <w:br/>
      </w:r>
      <w:r>
        <w:br/>
      </w:r>
    </w:p>
    <w:p>
      <w:pPr>
        <w:pStyle w:val="null3"/>
        <w:jc w:val="center"/>
        <w:outlineLvl w:val="2"/>
      </w:pPr>
      <w:r>
        <w:rPr>
          <w:rFonts w:ascii="仿宋_GB2312" w:hAnsi="仿宋_GB2312" w:cs="仿宋_GB2312" w:eastAsia="仿宋_GB2312"/>
          <w:sz w:val="28"/>
          <w:b/>
        </w:rPr>
        <w:t>渭南市路灯管理站</w:t>
      </w:r>
    </w:p>
    <w:p>
      <w:pPr>
        <w:pStyle w:val="null3"/>
        <w:jc w:val="center"/>
        <w:outlineLvl w:val="2"/>
      </w:pPr>
      <w:r>
        <w:rPr>
          <w:rFonts w:ascii="仿宋_GB2312" w:hAnsi="仿宋_GB2312" w:cs="仿宋_GB2312" w:eastAsia="仿宋_GB2312"/>
          <w:sz w:val="28"/>
          <w:b/>
        </w:rPr>
        <w:t>陕西金合建设项目管理有限公司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陕西金合建设项目管理有限公司</w:t>
      </w:r>
      <w:r>
        <w:rPr>
          <w:rFonts w:ascii="仿宋_GB2312" w:hAnsi="仿宋_GB2312" w:cs="仿宋_GB2312" w:eastAsia="仿宋_GB2312"/>
        </w:rPr>
        <w:t>（以下简称“代理机构”）受</w:t>
      </w:r>
      <w:r>
        <w:rPr>
          <w:rFonts w:ascii="仿宋_GB2312" w:hAnsi="仿宋_GB2312" w:cs="仿宋_GB2312" w:eastAsia="仿宋_GB2312"/>
        </w:rPr>
        <w:t>渭南市路灯管理站</w:t>
      </w:r>
      <w:r>
        <w:rPr>
          <w:rFonts w:ascii="仿宋_GB2312" w:hAnsi="仿宋_GB2312" w:cs="仿宋_GB2312" w:eastAsia="仿宋_GB2312"/>
        </w:rPr>
        <w:t>委托，拟对</w:t>
      </w:r>
      <w:r>
        <w:rPr>
          <w:rFonts w:ascii="仿宋_GB2312" w:hAnsi="仿宋_GB2312" w:cs="仿宋_GB2312" w:eastAsia="仿宋_GB2312"/>
        </w:rPr>
        <w:t>渭南市体育中心楼宇亮化设施检查维修项目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ZCSP-渭南市-2026-00057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渭南市体育中心楼宇亮化设施检查维修项目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渭南市体育中心楼宇亮化设施检查维修项目，拟对体育场、游泳馆、篮球馆三栋建筑楼宇亮化设施检查维修，内容包含：亮化控制系统、强弱电线路、灯具设施完好及安装稳固情况进行全面检查、维修，并对亮化灯具进行保洁清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采购包1（渭南市体育中心楼宇亮化设施检查维修项目）：属于专门面向中小企业采购。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证明书或授权委托书：供应商应授权合法的人员参加磋商全过程，其中法定代表人或负责人直接参加磋商的，须出具法定代表人或负责人身份证明书并与营业执照上信息一致。法定代表人或负责人授权代表参加磋商的，须出具法定代表人或负责人授权委托书（附授权代表身份证复印件及响应文件递交截止时间前半年内任意一个月的本单位社保缴纳证明）；</w:t>
      </w:r>
    </w:p>
    <w:p>
      <w:pPr>
        <w:pStyle w:val="null3"/>
      </w:pPr>
      <w:r>
        <w:rPr>
          <w:rFonts w:ascii="仿宋_GB2312" w:hAnsi="仿宋_GB2312" w:cs="仿宋_GB2312" w:eastAsia="仿宋_GB2312"/>
        </w:rPr>
        <w:t>2、资质证书及安全生产许可证：供应商须具备机电工程施工总承包三级及以上资质或城市及道路照明工程专业三级及以上资质，并具有有效的安全生产许可证。</w:t>
      </w:r>
    </w:p>
    <w:p>
      <w:pPr>
        <w:pStyle w:val="null3"/>
      </w:pPr>
      <w:r>
        <w:rPr>
          <w:rFonts w:ascii="仿宋_GB2312" w:hAnsi="仿宋_GB2312" w:cs="仿宋_GB2312" w:eastAsia="仿宋_GB2312"/>
        </w:rPr>
        <w:t>3、拟派项目负责人：拟派项目负责人须具有机电工程专业二级及以上注册建造师执业资格并具有有效的安全生产考核合格证，且未担任其他在建项目的项目负责人（须提供无在建工程承诺书）；</w:t>
      </w:r>
    </w:p>
    <w:p>
      <w:pPr>
        <w:pStyle w:val="null3"/>
      </w:pPr>
      <w:r>
        <w:rPr>
          <w:rFonts w:ascii="仿宋_GB2312" w:hAnsi="仿宋_GB2312" w:cs="仿宋_GB2312" w:eastAsia="仿宋_GB2312"/>
        </w:rPr>
        <w:t>4、信用信息：供应商不得为“信用中国”网站（www.creditchina.gov.cn）列入“失信被执行人（页面跳转至“中国执行信息公开网”http://zxgk.court.gov.cn/shixin/）、重大税收违法失信主体”的供应商；不得为中国政府采购网(http://www.ccgp.gov.cn)“政府采购严重违法失信行为记录名单”中的供应商（提供查询结果网页截图并加盖供应商公章，查询日期为公告发布之日起至磋商响应截止日止）；</w:t>
      </w:r>
    </w:p>
    <w:p>
      <w:pPr>
        <w:pStyle w:val="null3"/>
      </w:pPr>
      <w:r>
        <w:rPr>
          <w:rFonts w:ascii="仿宋_GB2312" w:hAnsi="仿宋_GB2312" w:cs="仿宋_GB2312" w:eastAsia="仿宋_GB2312"/>
        </w:rPr>
        <w:t>5、本项目不接受联合体投标：须提供非联合体投标声明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渭南市路灯管理站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东风大街118号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李海峰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0913-2076104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陕西金合建设项目管理有限公司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陕西省渭南市临渭区朝阳大街审计大楼八层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房萍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0913-2028188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采购包1：1,246,177.53元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开户名称：陕西金合建设项目管理有限公司</w:t>
            </w:r>
          </w:p>
          <w:p>
            <w:pPr>
              <w:pStyle w:val="null3"/>
            </w:pPr>
            <w:r>
              <w:rPr>
                <w:rFonts w:ascii="仿宋_GB2312" w:hAnsi="仿宋_GB2312" w:cs="仿宋_GB2312" w:eastAsia="仿宋_GB2312"/>
              </w:rPr>
              <w:t>开户银行：长安银行股份有限公司渭南分行</w:t>
            </w:r>
          </w:p>
          <w:p>
            <w:pPr>
              <w:pStyle w:val="null3"/>
            </w:pPr>
            <w:r>
              <w:rPr>
                <w:rFonts w:ascii="仿宋_GB2312" w:hAnsi="仿宋_GB2312" w:cs="仿宋_GB2312" w:eastAsia="仿宋_GB2312"/>
              </w:rPr>
              <w:t>银行账号：6000 1015 2010 9000 0920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代理服务费收费标准：以成交金额为基数，代理服务费金额：参照《国家发展改革委关于降低部分建设项目收费标准规范收费行为等有关问题的通知》（发改价格〔2011〕534号）文件的标准计算，下浮20%收取； 造价咨询服务费：按照《陕西省物价局 陕西省住房和建设厅关于我省工程造价服务收费标准有关问题的通知》（陕价行发[2014]88号）文件的标准计算，下浮20%收取。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渭南市路灯管理站</w:t>
      </w:r>
      <w:r>
        <w:rPr>
          <w:rFonts w:ascii="仿宋_GB2312" w:hAnsi="仿宋_GB2312" w:cs="仿宋_GB2312" w:eastAsia="仿宋_GB2312"/>
        </w:rPr>
        <w:t>和</w:t>
      </w:r>
      <w:r>
        <w:rPr>
          <w:rFonts w:ascii="仿宋_GB2312" w:hAnsi="仿宋_GB2312" w:cs="仿宋_GB2312" w:eastAsia="仿宋_GB2312"/>
        </w:rPr>
        <w:t>陕西金合建设项目管理有限公司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渭南市路灯管理站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陕西金合建设项目管理有限公司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渭南市路灯管理站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陕西金合建设项目管理有限公司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工程应按工程量清单及磋商文件全部内容完成。（2）本工程验收标准应符合国家相关工程管理规定及行业标准。（3）依据磋商文件及成交人响应文件及签证单等文件内容进行验收。（4）供应商严格执行安全措施和交通组织措施，以保证施工及过往行人人身安全，杜绝安全事故的发生，因施工原因造成安全事故的责任和损失由成交人自行承担，采购人概不负责任和赔偿。</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陕西金合建设项目管理有限公司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陕西金合建设项目管理有限公司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陕西金合建设项目管理有限公司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联系人：陕西金合建设项目管理有限公司</w:t>
      </w:r>
    </w:p>
    <w:p>
      <w:pPr>
        <w:pStyle w:val="null3"/>
      </w:pPr>
      <w:r>
        <w:rPr>
          <w:rFonts w:ascii="仿宋_GB2312" w:hAnsi="仿宋_GB2312" w:cs="仿宋_GB2312" w:eastAsia="仿宋_GB2312"/>
        </w:rPr>
        <w:t>联系电话：0913-2028188</w:t>
      </w:r>
    </w:p>
    <w:p>
      <w:pPr>
        <w:pStyle w:val="null3"/>
      </w:pPr>
      <w:r>
        <w:rPr>
          <w:rFonts w:ascii="仿宋_GB2312" w:hAnsi="仿宋_GB2312" w:cs="仿宋_GB2312" w:eastAsia="仿宋_GB2312"/>
        </w:rPr>
        <w:t>地址：陕西省渭南市临渭区朝阳大街市审计大楼八层</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1,246,177.53</w:t>
      </w:r>
    </w:p>
    <w:p>
      <w:pPr>
        <w:pStyle w:val="null3"/>
      </w:pPr>
      <w:r>
        <w:rPr>
          <w:rFonts w:ascii="仿宋_GB2312" w:hAnsi="仿宋_GB2312" w:cs="仿宋_GB2312" w:eastAsia="仿宋_GB2312"/>
        </w:rPr>
        <w:t>采购包最高限价（元）: 1,246,177.53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渭南市体育中心楼宇亮化设施检查维修项目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1,246,177.53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标的名称：渭南市体育中心楼宇亮化设施检查维修项目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586"/>
              <w:jc w:val="left"/>
            </w:pPr>
            <w:r>
              <w:rPr>
                <w:rFonts w:ascii="仿宋_GB2312" w:hAnsi="仿宋_GB2312" w:cs="仿宋_GB2312" w:eastAsia="仿宋_GB2312"/>
                <w:sz w:val="24"/>
                <w:b/>
                <w:color w:val="000000"/>
              </w:rPr>
              <w:t>1、预算金额：</w:t>
            </w:r>
            <w:r>
              <w:rPr>
                <w:rFonts w:ascii="仿宋_GB2312" w:hAnsi="仿宋_GB2312" w:cs="仿宋_GB2312" w:eastAsia="仿宋_GB2312"/>
                <w:sz w:val="24"/>
                <w:color w:val="000000"/>
              </w:rPr>
              <w:t>125万</w:t>
            </w:r>
            <w:r>
              <w:rPr>
                <w:rFonts w:ascii="仿宋_GB2312" w:hAnsi="仿宋_GB2312" w:cs="仿宋_GB2312" w:eastAsia="仿宋_GB2312"/>
                <w:sz w:val="24"/>
                <w:color w:val="000000"/>
              </w:rPr>
              <w:t>元</w:t>
            </w:r>
          </w:p>
          <w:p>
            <w:pPr>
              <w:pStyle w:val="null3"/>
              <w:ind w:firstLine="586"/>
              <w:jc w:val="left"/>
            </w:pPr>
            <w:r>
              <w:rPr>
                <w:rFonts w:ascii="仿宋_GB2312" w:hAnsi="仿宋_GB2312" w:cs="仿宋_GB2312" w:eastAsia="仿宋_GB2312"/>
                <w:sz w:val="24"/>
                <w:b/>
                <w:color w:val="000000"/>
              </w:rPr>
              <w:t>2、最高限价：</w:t>
            </w:r>
            <w:r>
              <w:rPr>
                <w:rFonts w:ascii="仿宋_GB2312" w:hAnsi="仿宋_GB2312" w:cs="仿宋_GB2312" w:eastAsia="仿宋_GB2312"/>
                <w:sz w:val="24"/>
                <w:color w:val="000000"/>
              </w:rPr>
              <w:t>124.617753万元</w:t>
            </w:r>
          </w:p>
          <w:p>
            <w:pPr>
              <w:pStyle w:val="null3"/>
              <w:ind w:firstLine="586"/>
              <w:jc w:val="left"/>
            </w:pPr>
            <w:r>
              <w:rPr>
                <w:rFonts w:ascii="仿宋_GB2312" w:hAnsi="仿宋_GB2312" w:cs="仿宋_GB2312" w:eastAsia="仿宋_GB2312"/>
                <w:sz w:val="24"/>
                <w:b/>
              </w:rPr>
              <w:t>3、</w:t>
            </w:r>
            <w:r>
              <w:rPr>
                <w:rFonts w:ascii="仿宋_GB2312" w:hAnsi="仿宋_GB2312" w:cs="仿宋_GB2312" w:eastAsia="仿宋_GB2312"/>
                <w:sz w:val="24"/>
                <w:b/>
              </w:rPr>
              <w:t>采购内容</w:t>
            </w:r>
            <w:r>
              <w:rPr>
                <w:rFonts w:ascii="仿宋_GB2312" w:hAnsi="仿宋_GB2312" w:cs="仿宋_GB2312" w:eastAsia="仿宋_GB2312"/>
                <w:sz w:val="24"/>
                <w:b/>
              </w:rPr>
              <w:t>：</w:t>
            </w:r>
            <w:r>
              <w:rPr>
                <w:rFonts w:ascii="仿宋_GB2312" w:hAnsi="仿宋_GB2312" w:cs="仿宋_GB2312" w:eastAsia="仿宋_GB2312"/>
                <w:sz w:val="24"/>
              </w:rPr>
              <w:t>拟对体育场、游泳馆、篮球馆三栋建筑楼宇亮化设施检查维修，内容包含：亮化控制系统、强弱电线路、灯具设施完好及安装稳固情况进行全面检查、维修，并对亮化灯具进行保洁清理。</w:t>
            </w:r>
          </w:p>
          <w:p>
            <w:pPr>
              <w:pStyle w:val="null3"/>
              <w:ind w:firstLine="586"/>
              <w:jc w:val="left"/>
            </w:pPr>
            <w:r>
              <w:rPr>
                <w:rFonts w:ascii="仿宋_GB2312" w:hAnsi="仿宋_GB2312" w:cs="仿宋_GB2312" w:eastAsia="仿宋_GB2312"/>
                <w:sz w:val="24"/>
                <w:b/>
                <w:color w:val="000000"/>
              </w:rPr>
              <w:t>4</w:t>
            </w:r>
            <w:r>
              <w:rPr>
                <w:rFonts w:ascii="仿宋_GB2312" w:hAnsi="仿宋_GB2312" w:cs="仿宋_GB2312" w:eastAsia="仿宋_GB2312"/>
                <w:sz w:val="24"/>
                <w:b/>
                <w:color w:val="000000"/>
              </w:rPr>
              <w:t>、合同履行期限：</w:t>
            </w:r>
            <w:r>
              <w:rPr>
                <w:rFonts w:ascii="仿宋_GB2312" w:hAnsi="仿宋_GB2312" w:cs="仿宋_GB2312" w:eastAsia="仿宋_GB2312"/>
                <w:sz w:val="24"/>
                <w:color w:val="000000"/>
              </w:rPr>
              <w:t>自合同签订之日起</w:t>
            </w:r>
            <w:r>
              <w:rPr>
                <w:rFonts w:ascii="仿宋_GB2312" w:hAnsi="仿宋_GB2312" w:cs="仿宋_GB2312" w:eastAsia="仿宋_GB2312"/>
                <w:sz w:val="24"/>
                <w:color w:val="000000"/>
              </w:rPr>
              <w:t>30日历天</w:t>
            </w:r>
            <w:r>
              <w:rPr>
                <w:rFonts w:ascii="仿宋_GB2312" w:hAnsi="仿宋_GB2312" w:cs="仿宋_GB2312" w:eastAsia="仿宋_GB2312"/>
                <w:sz w:val="24"/>
                <w:color w:val="000000"/>
              </w:rPr>
              <w:t>。</w:t>
            </w:r>
          </w:p>
          <w:p>
            <w:pPr>
              <w:pStyle w:val="null3"/>
              <w:ind w:firstLine="586"/>
              <w:jc w:val="left"/>
            </w:pPr>
            <w:r>
              <w:rPr>
                <w:rFonts w:ascii="仿宋_GB2312" w:hAnsi="仿宋_GB2312" w:cs="仿宋_GB2312" w:eastAsia="仿宋_GB2312"/>
                <w:sz w:val="24"/>
                <w:b/>
              </w:rPr>
              <w:t>5</w:t>
            </w:r>
            <w:r>
              <w:rPr>
                <w:rFonts w:ascii="仿宋_GB2312" w:hAnsi="仿宋_GB2312" w:cs="仿宋_GB2312" w:eastAsia="仿宋_GB2312"/>
                <w:sz w:val="24"/>
                <w:b/>
              </w:rPr>
              <w:t>、项目</w:t>
            </w:r>
            <w:r>
              <w:rPr>
                <w:rFonts w:ascii="仿宋_GB2312" w:hAnsi="仿宋_GB2312" w:cs="仿宋_GB2312" w:eastAsia="仿宋_GB2312"/>
                <w:sz w:val="24"/>
                <w:b/>
              </w:rPr>
              <w:t>实施</w:t>
            </w:r>
            <w:r>
              <w:rPr>
                <w:rFonts w:ascii="仿宋_GB2312" w:hAnsi="仿宋_GB2312" w:cs="仿宋_GB2312" w:eastAsia="仿宋_GB2312"/>
                <w:sz w:val="24"/>
                <w:b/>
              </w:rPr>
              <w:t>地点：</w:t>
            </w:r>
            <w:r>
              <w:rPr>
                <w:rFonts w:ascii="仿宋_GB2312" w:hAnsi="仿宋_GB2312" w:cs="仿宋_GB2312" w:eastAsia="仿宋_GB2312"/>
                <w:sz w:val="24"/>
              </w:rPr>
              <w:t>渭南市体育中心。</w:t>
            </w:r>
          </w:p>
          <w:p>
            <w:pPr>
              <w:pStyle w:val="null3"/>
              <w:ind w:firstLine="586"/>
              <w:jc w:val="left"/>
            </w:pPr>
            <w:r>
              <w:rPr>
                <w:rFonts w:ascii="仿宋_GB2312" w:hAnsi="仿宋_GB2312" w:cs="仿宋_GB2312" w:eastAsia="仿宋_GB2312"/>
                <w:sz w:val="24"/>
                <w:b/>
              </w:rPr>
              <w:t>6、质量标准：</w:t>
            </w:r>
            <w:r>
              <w:rPr>
                <w:rFonts w:ascii="仿宋_GB2312" w:hAnsi="仿宋_GB2312" w:cs="仿宋_GB2312" w:eastAsia="仿宋_GB2312"/>
                <w:sz w:val="24"/>
              </w:rPr>
              <w:t>合格。</w:t>
            </w:r>
          </w:p>
          <w:p>
            <w:pPr>
              <w:pStyle w:val="null3"/>
              <w:ind w:firstLine="586"/>
              <w:jc w:val="left"/>
            </w:pPr>
            <w:r>
              <w:rPr>
                <w:rFonts w:ascii="仿宋_GB2312" w:hAnsi="仿宋_GB2312" w:cs="仿宋_GB2312" w:eastAsia="仿宋_GB2312"/>
                <w:sz w:val="24"/>
                <w:b/>
              </w:rPr>
              <w:t>7、质保期：</w:t>
            </w:r>
            <w:r>
              <w:rPr>
                <w:rFonts w:ascii="仿宋_GB2312" w:hAnsi="仿宋_GB2312" w:cs="仿宋_GB2312" w:eastAsia="仿宋_GB2312"/>
                <w:sz w:val="24"/>
              </w:rPr>
              <w:t>自工程竣工验收合格之日起两年。</w:t>
            </w:r>
          </w:p>
          <w:p>
            <w:pPr>
              <w:pStyle w:val="null3"/>
              <w:ind w:firstLine="586"/>
              <w:jc w:val="left"/>
            </w:pPr>
            <w:r>
              <w:rPr>
                <w:rFonts w:ascii="仿宋_GB2312" w:hAnsi="仿宋_GB2312" w:cs="仿宋_GB2312" w:eastAsia="仿宋_GB2312"/>
                <w:sz w:val="24"/>
                <w:b/>
              </w:rPr>
              <w:t>8、付款进度安排及方式：</w:t>
            </w:r>
            <w:r>
              <w:rPr>
                <w:rFonts w:ascii="仿宋_GB2312" w:hAnsi="仿宋_GB2312" w:cs="仿宋_GB2312" w:eastAsia="仿宋_GB2312"/>
                <w:sz w:val="24"/>
              </w:rPr>
              <w:t>合同签订后支付合同价款40%的预付款；完成全部工程量，竣工验收合格后甲方支付乙方合同价款40%的工程进度款；结算审计后支付剩余的20%工程进度款，所有价款均不计息。</w:t>
            </w:r>
          </w:p>
          <w:p>
            <w:pPr>
              <w:pStyle w:val="null3"/>
              <w:ind w:firstLine="586"/>
              <w:jc w:val="left"/>
            </w:pPr>
            <w:r>
              <w:rPr>
                <w:rFonts w:ascii="仿宋_GB2312" w:hAnsi="仿宋_GB2312" w:cs="仿宋_GB2312" w:eastAsia="仿宋_GB2312"/>
                <w:sz w:val="24"/>
                <w:b/>
              </w:rPr>
              <w:t>9、验收、交付标准和方法：</w:t>
            </w:r>
            <w:r>
              <w:rPr>
                <w:rFonts w:ascii="仿宋_GB2312" w:hAnsi="仿宋_GB2312" w:cs="仿宋_GB2312" w:eastAsia="仿宋_GB2312"/>
                <w:sz w:val="24"/>
              </w:rPr>
              <w:t>（1）本工程应按工程量清单及磋商文件全部内容完成。（2）本工程验收标准应符合国家相关工程管理规定及行业标准。（3）依据磋商文件及成交人响应文件及签证单等文件内容进行验收。（4）供应商严格执行安全措施和交通组织措施，以保证施工及过往行人人身安全，杜绝安全事故的发生，因施工原因造成安全事故的责任和损失由成交人自行承担，采购人概不负责任和赔偿。</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执行所有现行的国家相关标准、行业标准、地方标准以及其他标准、规范，并统一执行最新标准规范。</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磋商保证金注意事项：（1）以转账、支票、汇票等方式递交磋商保证金的，须从供应商户基本账户支付（备注项目编号或项目名称），如从个人户名或非供应商户名支付，将被拒绝，视为自动放弃投标权利；磋商保证金以采购代理机构到账凭证为准，供应商需更换交纳凭证，由采购代理机构统一提供保证金收据；供应商应在磋商文件中附收据复印件；（2）以保函形式交纳磋商保证金的，供应商应在响应截止时间前持保函原件至代理机构财务处换取收据；供应商应在磋商文件中附收据复印件。保函必须由具有开具投标保函资格的单位开具；若供应商违约，开具保函单位承担连带责任；（3）磋商保证金提交金额、时间不满足磋商文件要求的，投标无效；（4）未按指定账户提交的，我公司将退回，供应商须在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供应商具有独立承担民事责任能力的法人、事业法人、其他组织或自然人。企业法人应提供合法有效的标识有统一社会信用代码营业执照；事业单位法人证书；其他组织应提供合法登记证明文件；自然人应提供身份证。 （2）提供具备履行合同所必需的设备和专业技术能力的承诺； （3）有依法缴纳税收的记录，提供供应商2025年4月以来任意一个月的依法缴纳税收凭据或完税证明（依法免税的供应商应提供相关文件证明）； （4）有依法缴纳社会保障资金的记录，提供供应商2025年4月以来任意一个月的社会保障资金缴存单据或社保机构开具的社会保险参保缴费情况证明（依法不需要缴纳社会保障资金的供应商应提供相关文件证明）； （5）提供参加政府采购活动前3年内在经营活动中没有重大违法记录的书面声明；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提供2024或2025年度经审计的财务报告（至少包括资产负债表和利润表；成立时间至提交响应文件截止时间不足一年的可提供成立后任意时段的资产负债表）或磋商前六个月内其基本账户银行出具的资信证明或财政部门认可的政府采购专业担保机构出具的担保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单位负责人为同一人或者存在直接控股、管理关系的不同供应商提交的响应文件，按递交顺序只接受第一家响应文件，其他供应商按无效标处理。</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 供应商应为中型、小型或微型企业（残疾人福利性企业及监狱企业视同为小型、微型企业），提供中小企业声明函。所属行业：建筑业。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法定代表人证明书或授权委托书</w:t>
            </w:r>
          </w:p>
        </w:tc>
        <w:tc>
          <w:tcPr>
            <w:tcW w:type="dxa" w:w="3322"/>
          </w:tcPr>
          <w:p>
            <w:pPr>
              <w:pStyle w:val="null3"/>
            </w:pPr>
            <w:r>
              <w:rPr>
                <w:rFonts w:ascii="仿宋_GB2312" w:hAnsi="仿宋_GB2312" w:cs="仿宋_GB2312" w:eastAsia="仿宋_GB2312"/>
              </w:rPr>
              <w:t>供应商应授权合法的人员参加磋商全过程，其中法定代表人或负责人直接参加磋商的，须出具法定代表人或负责人身份证明书并与营业执照上信息一致。法定代表人或负责人授权代表参加磋商的，须出具法定代表人或负责人授权委托书（附授权代表身份证复印件及响应文件递交截止时间前半年内任意一个月的本单位社保缴纳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资质证书及安全生产许可证</w:t>
            </w:r>
          </w:p>
        </w:tc>
        <w:tc>
          <w:tcPr>
            <w:tcW w:type="dxa" w:w="3322"/>
          </w:tcPr>
          <w:p>
            <w:pPr>
              <w:pStyle w:val="null3"/>
            </w:pPr>
            <w:r>
              <w:rPr>
                <w:rFonts w:ascii="仿宋_GB2312" w:hAnsi="仿宋_GB2312" w:cs="仿宋_GB2312" w:eastAsia="仿宋_GB2312"/>
              </w:rPr>
              <w:t>供应商须具备机电工程施工总承包三级及以上资质或城市及道路照明工程专业三级及以上资质，并具有有效的安全生产许可证。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拟派项目负责人须具有机电工程专业二级及以上注册建造师执业资格并具有有效的安全生产考核合格证，且未担任其他在建项目的项目负责人（须提供无在建工程承诺书）；</w:t>
            </w:r>
          </w:p>
        </w:tc>
        <w:tc>
          <w:tcPr>
            <w:tcW w:type="dxa" w:w="1661"/>
          </w:tcPr>
          <w:p>
            <w:pPr>
              <w:pStyle w:val="null3"/>
            </w:pPr>
            <w:r>
              <w:rPr>
                <w:rFonts w:ascii="仿宋_GB2312" w:hAnsi="仿宋_GB2312" w:cs="仿宋_GB2312" w:eastAsia="仿宋_GB2312"/>
              </w:rPr>
              <w:t>供应商应提交的相关资格证明材料.docx 项目管理机构组成表 主要人员简历表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列入“失信被执行人（页面跳转至“中国执行信息公开网”http://zxgk.court.gov.cn/shixin/）、重大税收违法失信主体”的供应商；不得为中国政府采购网(http://www.ccgp.gov.cn)“政府采购严重违法失信行为记录名单”中的供应商（提供查询结果网页截图并加盖供应商公章，查询日期为公告发布之日起至磋商响应截止日止）；</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须提供非联合体投标声明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按格式填写供应商名称，与营业执照、资质证书、安全生产许可证、公章一致。</w:t>
            </w:r>
          </w:p>
        </w:tc>
        <w:tc>
          <w:tcPr>
            <w:tcW w:type="dxa" w:w="1661"/>
          </w:tcPr>
          <w:p>
            <w:pPr>
              <w:pStyle w:val="null3"/>
            </w:pPr>
            <w:r>
              <w:rPr>
                <w:rFonts w:ascii="仿宋_GB2312" w:hAnsi="仿宋_GB2312" w:cs="仿宋_GB2312" w:eastAsia="仿宋_GB2312"/>
              </w:rPr>
              <w:t>技术方案.docx 已标价工程量清单 磋商保证金.docx 中小企业声明函 技术服务合同条款及其他商务要求应答表 响应文件封面 供应商应提交的相关资格证明材料.docx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有法定代表人或委托代理人签字(或盖章)并加盖单位公章</w:t>
            </w:r>
          </w:p>
        </w:tc>
        <w:tc>
          <w:tcPr>
            <w:tcW w:type="dxa" w:w="1661"/>
          </w:tcPr>
          <w:p>
            <w:pPr>
              <w:pStyle w:val="null3"/>
            </w:pPr>
            <w:r>
              <w:rPr>
                <w:rFonts w:ascii="仿宋_GB2312" w:hAnsi="仿宋_GB2312" w:cs="仿宋_GB2312" w:eastAsia="仿宋_GB2312"/>
              </w:rPr>
              <w:t>技术方案.docx 已标价工程量清单 磋商保证金.docx 中小企业声明函 技术服务合同条款及其他商务要求应答表 响应文件封面 供应商应提交的相关资格证明材料.docx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响应文件格式与内容</w:t>
            </w:r>
          </w:p>
        </w:tc>
        <w:tc>
          <w:tcPr>
            <w:tcW w:type="dxa" w:w="3322"/>
          </w:tcPr>
          <w:p>
            <w:pPr>
              <w:pStyle w:val="null3"/>
            </w:pPr>
            <w:r>
              <w:rPr>
                <w:rFonts w:ascii="仿宋_GB2312" w:hAnsi="仿宋_GB2312" w:cs="仿宋_GB2312" w:eastAsia="仿宋_GB2312"/>
              </w:rPr>
              <w:t>符合磋商文件及第七章“响应文件格式”的要求</w:t>
            </w:r>
          </w:p>
        </w:tc>
        <w:tc>
          <w:tcPr>
            <w:tcW w:type="dxa" w:w="1661"/>
          </w:tcPr>
          <w:p>
            <w:pPr>
              <w:pStyle w:val="null3"/>
            </w:pPr>
            <w:r>
              <w:rPr>
                <w:rFonts w:ascii="仿宋_GB2312" w:hAnsi="仿宋_GB2312" w:cs="仿宋_GB2312" w:eastAsia="仿宋_GB2312"/>
              </w:rPr>
              <w:t>技术方案.docx 已标价工程量清单 磋商保证金.docx 中小企业声明函 技术服务合同条款及其他商务要求应答表 响应文件封面 供应商应提交的相关资格证明材料.docx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报价唯一与首次报价</w:t>
            </w:r>
          </w:p>
        </w:tc>
        <w:tc>
          <w:tcPr>
            <w:tcW w:type="dxa" w:w="3322"/>
          </w:tcPr>
          <w:p>
            <w:pPr>
              <w:pStyle w:val="null3"/>
            </w:pPr>
            <w:r>
              <w:rPr>
                <w:rFonts w:ascii="仿宋_GB2312" w:hAnsi="仿宋_GB2312" w:cs="仿宋_GB2312" w:eastAsia="仿宋_GB2312"/>
              </w:rPr>
              <w:t>只能有一个有效报价且首次报价未超过最高限价。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合同签订之日起30日历天</w:t>
            </w:r>
          </w:p>
        </w:tc>
        <w:tc>
          <w:tcPr>
            <w:tcW w:type="dxa" w:w="1661"/>
          </w:tcPr>
          <w:p>
            <w:pPr>
              <w:pStyle w:val="null3"/>
            </w:pPr>
            <w:r>
              <w:rPr>
                <w:rFonts w:ascii="仿宋_GB2312" w:hAnsi="仿宋_GB2312" w:cs="仿宋_GB2312" w:eastAsia="仿宋_GB2312"/>
              </w:rPr>
              <w:t>技术服务合同条款及其他商务要求应答表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自工程竣工验收合格之日起两年</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合格，达到国家现行技术标准</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磋商保证金.docx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施工方案、方法与技术措施</w:t>
            </w:r>
          </w:p>
        </w:tc>
        <w:tc>
          <w:tcPr>
            <w:tcW w:type="dxa" w:w="2492"/>
          </w:tcPr>
          <w:p>
            <w:pPr>
              <w:pStyle w:val="null3"/>
            </w:pPr>
            <w:r>
              <w:rPr>
                <w:rFonts w:ascii="仿宋_GB2312" w:hAnsi="仿宋_GB2312" w:cs="仿宋_GB2312" w:eastAsia="仿宋_GB2312"/>
              </w:rPr>
              <w:t>应对本项目了解透彻，制定针对本项目的方案，应包括：①施工方案②施工方法③技术措施等内容。 方案内容齐全且对施工具有较高的指导性，得9分；方案内容每缺1项扣3分；方案每存在1处缺陷（非针对本项目、内容不完整、指导性不强）扣1分；扣完为止。未提供方案不得分。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施工进度计划及保证措施</w:t>
            </w:r>
          </w:p>
        </w:tc>
        <w:tc>
          <w:tcPr>
            <w:tcW w:type="dxa" w:w="2492"/>
          </w:tcPr>
          <w:p>
            <w:pPr>
              <w:pStyle w:val="null3"/>
            </w:pPr>
            <w:r>
              <w:rPr>
                <w:rFonts w:ascii="仿宋_GB2312" w:hAnsi="仿宋_GB2312" w:cs="仿宋_GB2312" w:eastAsia="仿宋_GB2312"/>
              </w:rPr>
              <w:t>应包括①施工进度计划安排②人员材料进场计划③实施重点和难点应对措施④风险估计及应对措施等内容。 方案内容齐全且对施工具有较高的指导性，得8分；方案内容每缺1项扣2分；方案每存在1处缺陷（非针对本项目、内容不完整、指导性不强）扣1分；扣完为止。未提供方案不得分。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工程质量管理体系及保证措施</w:t>
            </w:r>
          </w:p>
        </w:tc>
        <w:tc>
          <w:tcPr>
            <w:tcW w:type="dxa" w:w="2492"/>
          </w:tcPr>
          <w:p>
            <w:pPr>
              <w:pStyle w:val="null3"/>
            </w:pPr>
            <w:r>
              <w:rPr>
                <w:rFonts w:ascii="仿宋_GB2312" w:hAnsi="仿宋_GB2312" w:cs="仿宋_GB2312" w:eastAsia="仿宋_GB2312"/>
              </w:rPr>
              <w:t>应包括①质量目标②质量管理体系③实施重点和难点应对措施④风险估计及应对措施等内容。 方案内容齐全且对施工具有较高的指导性，得8分；方案内容每缺1项扣2分；方案每存在1处缺陷（非针对本项目、内容不完整、指导性不强）扣1分；扣完为止。未提供方案不得分。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项目管理机构的组成</w:t>
            </w:r>
          </w:p>
        </w:tc>
        <w:tc>
          <w:tcPr>
            <w:tcW w:type="dxa" w:w="2492"/>
          </w:tcPr>
          <w:p>
            <w:pPr>
              <w:pStyle w:val="null3"/>
            </w:pPr>
            <w:r>
              <w:rPr>
                <w:rFonts w:ascii="仿宋_GB2312" w:hAnsi="仿宋_GB2312" w:cs="仿宋_GB2312" w:eastAsia="仿宋_GB2312"/>
              </w:rPr>
              <w:t>应包括①机构设置②岗位安排③团队专业性④核心人员的资格与经验等内容。 机构设置、岗位安排合理、团队人员专业性强，得6分；方案内容每缺1项扣1.5分；方案每存在1处缺陷（非机构设置不合理、岗位配置不健全、人员专业程度差）扣1分；扣完为止。未提供不得分。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安全生产、文明施工管理体系及保证措施</w:t>
            </w:r>
          </w:p>
        </w:tc>
        <w:tc>
          <w:tcPr>
            <w:tcW w:type="dxa" w:w="2492"/>
          </w:tcPr>
          <w:p>
            <w:pPr>
              <w:pStyle w:val="null3"/>
            </w:pPr>
            <w:r>
              <w:rPr>
                <w:rFonts w:ascii="仿宋_GB2312" w:hAnsi="仿宋_GB2312" w:cs="仿宋_GB2312" w:eastAsia="仿宋_GB2312"/>
              </w:rPr>
              <w:t>应包括①安全生产目标②管理体系和组织措施及制度③预防和动态控制措施④安全经费投入等内容。 安全生产目标明确，措施得当，对本项目安全生产、文明施工具有较高的指导性的得，得6分；方案内容每缺1项扣1.5分；方案每存在1处缺陷（非针对本项目、内容不完整、指导性不强）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环境保护保证体系及保证措施</w:t>
            </w:r>
          </w:p>
        </w:tc>
        <w:tc>
          <w:tcPr>
            <w:tcW w:type="dxa" w:w="2492"/>
          </w:tcPr>
          <w:p>
            <w:pPr>
              <w:pStyle w:val="null3"/>
            </w:pPr>
            <w:r>
              <w:rPr>
                <w:rFonts w:ascii="仿宋_GB2312" w:hAnsi="仿宋_GB2312" w:cs="仿宋_GB2312" w:eastAsia="仿宋_GB2312"/>
              </w:rPr>
              <w:t>应包括①环境保护组织措施②管理体系及制度③环保应急与监测方案④环保投入计划等内容。 体系健全、措施得当，对本项目具有较高的指导的得，得6分；方案内容每缺1项扣1.5分；方案每存在1处缺陷（非针对本项目、内容不完整、指导性不强）扣1分；扣完为止。未提供不得分。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项目风险预测与防范、事故应急预案</w:t>
            </w:r>
          </w:p>
        </w:tc>
        <w:tc>
          <w:tcPr>
            <w:tcW w:type="dxa" w:w="2492"/>
          </w:tcPr>
          <w:p>
            <w:pPr>
              <w:pStyle w:val="null3"/>
            </w:pPr>
            <w:r>
              <w:rPr>
                <w:rFonts w:ascii="仿宋_GB2312" w:hAnsi="仿宋_GB2312" w:cs="仿宋_GB2312" w:eastAsia="仿宋_GB2312"/>
              </w:rPr>
              <w:t>应包括①风险预测、分析②风险防范计划③事故应急预案等内容。 方案内容齐全、方案针对性强、对本项目事故防范具有较高的指导性，得6分；方案内容每缺1项扣2分；方案每存在1处缺陷（非针对本项目、计划合理性差、应急预案可靠性差）扣1分；扣完为止。未提供不得分。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实质性承诺或合理化建议</w:t>
            </w:r>
          </w:p>
        </w:tc>
        <w:tc>
          <w:tcPr>
            <w:tcW w:type="dxa" w:w="2492"/>
          </w:tcPr>
          <w:p>
            <w:pPr>
              <w:pStyle w:val="null3"/>
            </w:pPr>
            <w:r>
              <w:rPr>
                <w:rFonts w:ascii="仿宋_GB2312" w:hAnsi="仿宋_GB2312" w:cs="仿宋_GB2312" w:eastAsia="仿宋_GB2312"/>
              </w:rPr>
              <w:t>应包括①实质性承诺②合理化建议等内容。方案内容齐全、方案针对性强、对本项目施工具有较高的指导性，得3分；方案内容每缺1项扣1.5分；方案每存在1处缺陷（非针对本项目、建议内容可靠性差）扣1分；扣完为止。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主要劳动力及机具配备</w:t>
            </w:r>
          </w:p>
        </w:tc>
        <w:tc>
          <w:tcPr>
            <w:tcW w:type="dxa" w:w="2492"/>
          </w:tcPr>
          <w:p>
            <w:pPr>
              <w:pStyle w:val="null3"/>
            </w:pPr>
            <w:r>
              <w:rPr>
                <w:rFonts w:ascii="仿宋_GB2312" w:hAnsi="仿宋_GB2312" w:cs="仿宋_GB2312" w:eastAsia="仿宋_GB2312"/>
              </w:rPr>
              <w:t>应包括①劳动力配置计划②机具配置计划③资源投入保障措施等内容。 计划合理、保障措施健全、施工进度需求，具有较强的实施性，得3分；方案内容每缺1项扣1分；方案每存在1处缺陷（非针对本项目、计划合理性差、保障措施不健全）扣1分；扣完为止。未提供不得分。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供应商具有2021年4月1日至今（以合同签订时间为准）的类似项目业绩，响应文件中提供合同复印件加盖公章,每提供一个计1分，满分5分。注：以合同复印件为准。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(1)不高于最高限价，且经磋商小组评审不低于成本价的最终磋商报价为有效磋商报价。 (2)满足竞争性磋商文件要求且磋商价格最低的最终磋商报价为磋商基准价，得满分40分； (3)磋商报价得分=(磋商基准价／最终磋商报价)×40%×100。备注：当磋商小组认为某个供应商的报价明显低于其他通过符合性审查供应商的报价，有可能影响工程质量和不能诚信履约的，可以要求该供应商提供书面说明，必要时提交相关证明材料；供应商不能证明其报价合理的，磋商小组可以将其作为无效磋商处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详见附件：磋商保证金.docx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详见附件：建设工程施工合同（模版）.docx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