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版本号：政采-渭南市-2026-0045520260421001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山洪灾害防治非工程措施维修养护项目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政采-渭南市-2026-00455</w:t>
      </w:r>
      <w:r>
        <w:br/>
      </w:r>
      <w:r>
        <w:br/>
      </w:r>
      <w:r>
        <w:br/>
      </w:r>
    </w:p>
    <w:p>
      <w:pPr>
        <w:pStyle w:val="null3"/>
        <w:jc w:val="center"/>
        <w:outlineLvl w:val="2"/>
      </w:pPr>
      <w:r>
        <w:rPr>
          <w:rFonts w:ascii="仿宋_GB2312" w:hAnsi="仿宋_GB2312" w:cs="仿宋_GB2312" w:eastAsia="仿宋_GB2312"/>
          <w:sz w:val="28"/>
          <w:b/>
        </w:rPr>
        <w:t>渭南市渭河生态区保护中心</w:t>
      </w:r>
    </w:p>
    <w:p>
      <w:pPr>
        <w:pStyle w:val="null3"/>
        <w:jc w:val="center"/>
        <w:outlineLvl w:val="2"/>
      </w:pPr>
      <w:r>
        <w:rPr>
          <w:rFonts w:ascii="仿宋_GB2312" w:hAnsi="仿宋_GB2312" w:cs="仿宋_GB2312" w:eastAsia="仿宋_GB2312"/>
          <w:sz w:val="28"/>
          <w:b/>
        </w:rPr>
        <w:t>陕西金合建设项目管理有限公司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陕西金合建设项目管理有限公司</w:t>
      </w:r>
      <w:r>
        <w:rPr>
          <w:rFonts w:ascii="仿宋_GB2312" w:hAnsi="仿宋_GB2312" w:cs="仿宋_GB2312" w:eastAsia="仿宋_GB2312"/>
        </w:rPr>
        <w:t>（以下简称“代理机构”）受</w:t>
      </w:r>
      <w:r>
        <w:rPr>
          <w:rFonts w:ascii="仿宋_GB2312" w:hAnsi="仿宋_GB2312" w:cs="仿宋_GB2312" w:eastAsia="仿宋_GB2312"/>
        </w:rPr>
        <w:t>渭南市渭河生态区保护中心</w:t>
      </w:r>
      <w:r>
        <w:rPr>
          <w:rFonts w:ascii="仿宋_GB2312" w:hAnsi="仿宋_GB2312" w:cs="仿宋_GB2312" w:eastAsia="仿宋_GB2312"/>
        </w:rPr>
        <w:t>委托，拟对</w:t>
      </w:r>
      <w:r>
        <w:rPr>
          <w:rFonts w:ascii="仿宋_GB2312" w:hAnsi="仿宋_GB2312" w:cs="仿宋_GB2312" w:eastAsia="仿宋_GB2312"/>
        </w:rPr>
        <w:t>山洪灾害防治非工程措施维修养护项目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政采-渭南市-2026-00455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山洪灾害防治非工程措施维修养护项目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自2010年以来分阶段推进监测预警体系建设，历经初期建设、持续完善与升级运维三个阶段，逐步构建起覆盖全域、运行基本稳定的山洪灾害监测预警体系，目前共计雨水情自动监测站点192处，其中自动雨量站132处、自动雨量水位一体站60处，站点建成投运以来，始终坚持专业化运维、常态化保障，全面发挥雨水情“前哨”作用，为历年的山洪灾害风险研判、人员避险转移、水旱灾害防御调度提供了预警支撑，大幅提升了我市水旱灾害防御信息化、数字化管理水平，有力保障人民群众生命和财产安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1、供应商须具备有效的主体资格证明：供应商具有独立承担民事责任能力的法人、事业法人、 其他组织或自然人。企业法人应提供合法有效的标识有统一社会信用代码营业执照；事业单位法人证书；其他组织应提供合法登记证明文件；自然人应提供身份证。</w:t>
      </w:r>
    </w:p>
    <w:p>
      <w:pPr>
        <w:pStyle w:val="null3"/>
      </w:pPr>
      <w:r>
        <w:rPr>
          <w:rFonts w:ascii="仿宋_GB2312" w:hAnsi="仿宋_GB2312" w:cs="仿宋_GB2312" w:eastAsia="仿宋_GB2312"/>
        </w:rPr>
        <w:t>2、法定代表人（负责人）或授权代表身份证明：供应商应授权合法的人员参加磋商全过程，其中法定代表人或负责人直接参加磋商的，须出具法定代表人或负责人身份证明书并与营业执照上信息一致。法定代表人或负责人授权代表参加磋商的，须出具法定代表人或负责人授权委托书(附授权代表身份证复印件及响应文件递交截止时间前半年内任意一个月的本单位社保缴纳证明)。</w:t>
      </w:r>
    </w:p>
    <w:p>
      <w:pPr>
        <w:pStyle w:val="null3"/>
      </w:pPr>
      <w:r>
        <w:rPr>
          <w:rFonts w:ascii="仿宋_GB2312" w:hAnsi="仿宋_GB2312" w:cs="仿宋_GB2312" w:eastAsia="仿宋_GB2312"/>
        </w:rPr>
        <w:t>3、信用信息：供应商不得为“信用中国”网站 (www.creditchina. gov.cn)列入“失信被执行人(页面跳转至“中国执行信息公开网”http://zxgk.court.gov.cn/shixin/)、 重大税收违法失信主体”的供应商；不得为中国政府采购网(http://www.ccgp.gov.cn)“政府采购严重违法失信行为记录名单”中的供应商(提供查询结果网页截图并加盖供应商公章，查询日期为公告发布之日起至磋商响应截止日止)。</w:t>
      </w:r>
    </w:p>
    <w:p>
      <w:pPr>
        <w:pStyle w:val="null3"/>
      </w:pPr>
      <w:r>
        <w:rPr>
          <w:rFonts w:ascii="仿宋_GB2312" w:hAnsi="仿宋_GB2312" w:cs="仿宋_GB2312" w:eastAsia="仿宋_GB2312"/>
        </w:rPr>
        <w:t>4、联合体投标：本项目不接受联合体投标。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渭南市渭河生态区保护中心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渭南市高新北区里仁村渭河游客服务中心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渭南市渭河生态区保护中心经办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0913-2055649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陕西金合建设项目管理有限公司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渭南市朝阳大街中段审计大楼八层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邱晓艳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0913-2023388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采购包1：1,315,000.00元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开户名称：陕西金合建设项目管理有限公司</w:t>
            </w:r>
          </w:p>
          <w:p>
            <w:pPr>
              <w:pStyle w:val="null3"/>
            </w:pPr>
            <w:r>
              <w:rPr>
                <w:rFonts w:ascii="仿宋_GB2312" w:hAnsi="仿宋_GB2312" w:cs="仿宋_GB2312" w:eastAsia="仿宋_GB2312"/>
              </w:rPr>
              <w:t>开户银行：长安银行股份有限公司渭南分行</w:t>
            </w:r>
          </w:p>
          <w:p>
            <w:pPr>
              <w:pStyle w:val="null3"/>
            </w:pPr>
            <w:r>
              <w:rPr>
                <w:rFonts w:ascii="仿宋_GB2312" w:hAnsi="仿宋_GB2312" w:cs="仿宋_GB2312" w:eastAsia="仿宋_GB2312"/>
              </w:rPr>
              <w:t>银行账号：6000 1015 2010 9000 0920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中国招标投标协会关于贯彻&lt;国家发展改革委关于进一步放开建设项目专业服务价格的通知&gt;（发改价格〔2015〕299号）的指导意见》的要求、经双方协商，代理费参照【国家发改委发改价格（2011）534号文件】规定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渭南市渭河生态区保护中心</w:t>
      </w:r>
      <w:r>
        <w:rPr>
          <w:rFonts w:ascii="仿宋_GB2312" w:hAnsi="仿宋_GB2312" w:cs="仿宋_GB2312" w:eastAsia="仿宋_GB2312"/>
        </w:rPr>
        <w:t>和</w:t>
      </w:r>
      <w:r>
        <w:rPr>
          <w:rFonts w:ascii="仿宋_GB2312" w:hAnsi="仿宋_GB2312" w:cs="仿宋_GB2312" w:eastAsia="仿宋_GB2312"/>
        </w:rPr>
        <w:t>陕西金合建设项目管理有限公司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渭南市渭河生态区保护中心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陕西金合建设项目管理有限公司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渭南市渭河生态区保护中心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陕西金合建设项目管理有限公司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陕西金合建设项目管理有限公司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陕西金合建设项目管理有限公司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陕西金合建设项目管理有限公司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联系人：邱晓艳</w:t>
      </w:r>
    </w:p>
    <w:p>
      <w:pPr>
        <w:pStyle w:val="null3"/>
      </w:pPr>
      <w:r>
        <w:rPr>
          <w:rFonts w:ascii="仿宋_GB2312" w:hAnsi="仿宋_GB2312" w:cs="仿宋_GB2312" w:eastAsia="仿宋_GB2312"/>
        </w:rPr>
        <w:t>联系电话：0913-2023388</w:t>
      </w:r>
    </w:p>
    <w:p>
      <w:pPr>
        <w:pStyle w:val="null3"/>
      </w:pPr>
      <w:r>
        <w:rPr>
          <w:rFonts w:ascii="仿宋_GB2312" w:hAnsi="仿宋_GB2312" w:cs="仿宋_GB2312" w:eastAsia="仿宋_GB2312"/>
        </w:rPr>
        <w:t>地址：渭南市朝阳大街中段审计大楼八层</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自2010年以来分阶段推进监测预警体系建设，历经初期建设、持续完善与升级运维三个阶段，逐步构建起覆盖全域、运行基本稳定的山洪灾害监测预警体系。站点建成投运以来，始终坚持专业化运维、常态化保障，全面发挥雨水情“前哨”作用，为历年的山洪灾害风险研判、人员避险转移、水旱灾害防御调度提供了预警支撑，大幅提升了我市水旱灾害防御信息化、数字化管理水平，有力保障人民群众生命和财产安全。 由于监测站点设施设备运行时间较长，户外运行环境较差，部分设备老化，数据监测准确性下降、传输稳定性保证性较低，运维保障压力日益突出，为保障监测站点持续稳定运行，确保雨水情监测信息实时、准确、稳定高效传输，充分发挥监测预警体系防灾减灾作用，实施全市辖区内不少于192处山洪灾害雨水情自动监测站点及设施设备进行运行维护非常必要。</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1,315,000.00</w:t>
      </w:r>
    </w:p>
    <w:p>
      <w:pPr>
        <w:pStyle w:val="null3"/>
      </w:pPr>
      <w:r>
        <w:rPr>
          <w:rFonts w:ascii="仿宋_GB2312" w:hAnsi="仿宋_GB2312" w:cs="仿宋_GB2312" w:eastAsia="仿宋_GB2312"/>
        </w:rPr>
        <w:t>采购包最高限价（元）: 1,315,000.00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山洪灾害防治非工程措施维修养护项目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1,315,000.00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标的名称：山洪灾害防治非工程措施维修养护项目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jc w:val="both"/>
            </w:pPr>
            <w:r>
              <w:rPr>
                <w:rFonts w:ascii="仿宋_GB2312" w:hAnsi="仿宋_GB2312" w:cs="仿宋_GB2312" w:eastAsia="仿宋_GB2312"/>
                <w:sz w:val="21"/>
                <w:b/>
              </w:rPr>
              <w:t>一、</w:t>
            </w:r>
            <w:r>
              <w:rPr>
                <w:rFonts w:ascii="仿宋_GB2312" w:hAnsi="仿宋_GB2312" w:cs="仿宋_GB2312" w:eastAsia="仿宋_GB2312"/>
                <w:sz w:val="21"/>
                <w:b/>
              </w:rPr>
              <w:t>技术要求</w:t>
            </w:r>
          </w:p>
          <w:p>
            <w:pPr>
              <w:pStyle w:val="null3"/>
              <w:ind w:firstLine="560"/>
              <w:jc w:val="both"/>
            </w:pPr>
            <w:r>
              <w:rPr>
                <w:rFonts w:ascii="仿宋_GB2312" w:hAnsi="仿宋_GB2312" w:cs="仿宋_GB2312" w:eastAsia="仿宋_GB2312"/>
                <w:sz w:val="21"/>
              </w:rPr>
              <w:t>1.</w:t>
            </w:r>
            <w:r>
              <w:rPr>
                <w:rFonts w:ascii="仿宋_GB2312" w:hAnsi="仿宋_GB2312" w:cs="仿宋_GB2312" w:eastAsia="仿宋_GB2312"/>
                <w:sz w:val="21"/>
              </w:rPr>
              <w:t>项目概况</w:t>
            </w:r>
          </w:p>
          <w:p>
            <w:pPr>
              <w:pStyle w:val="null3"/>
              <w:ind w:firstLine="560"/>
              <w:jc w:val="both"/>
            </w:pPr>
            <w:r>
              <w:rPr>
                <w:rFonts w:ascii="仿宋_GB2312" w:hAnsi="仿宋_GB2312" w:cs="仿宋_GB2312" w:eastAsia="仿宋_GB2312"/>
                <w:sz w:val="21"/>
              </w:rPr>
              <w:t>自</w:t>
            </w:r>
            <w:r>
              <w:rPr>
                <w:rFonts w:ascii="仿宋_GB2312" w:hAnsi="仿宋_GB2312" w:cs="仿宋_GB2312" w:eastAsia="仿宋_GB2312"/>
                <w:sz w:val="21"/>
              </w:rPr>
              <w:t>2010年以来分阶段推进监测预警体系建设，历经初期建设、持续完善与升级运维三个阶段，逐步构建起覆盖全域、运行基本稳定的山洪灾害监测预警体系，目前共计雨水情自动监测站点192处，其中自动雨量站132处、自动雨量水位一体站60处，站点建成投运以来，始终坚持专业化运维、常态化保障，全面发挥雨水情“前哨”作用，为历年的山洪灾害风险研判、人员避险转移、水旱灾害防御调度提供了预警支撑，大幅提升了我市水旱灾害防御信息化、数字化管理水平，有力保障人民群众生命和财产安全。</w:t>
            </w:r>
          </w:p>
          <w:p>
            <w:pPr>
              <w:pStyle w:val="null3"/>
              <w:ind w:firstLine="582"/>
              <w:jc w:val="center"/>
            </w:pPr>
            <w:r>
              <w:rPr>
                <w:rFonts w:ascii="仿宋_GB2312" w:hAnsi="仿宋_GB2312" w:cs="仿宋_GB2312" w:eastAsia="仿宋_GB2312"/>
                <w:sz w:val="21"/>
                <w:b/>
              </w:rPr>
              <w:t>附件</w:t>
            </w:r>
            <w:r>
              <w:rPr>
                <w:rFonts w:ascii="仿宋_GB2312" w:hAnsi="仿宋_GB2312" w:cs="仿宋_GB2312" w:eastAsia="仿宋_GB2312"/>
                <w:sz w:val="21"/>
                <w:b/>
              </w:rPr>
              <w:t>1：渭南市山洪灾害雨水情自动监测站点统计表</w:t>
            </w:r>
          </w:p>
          <w:tbl>
            <w:tblPr>
              <w:tblBorders>
                <w:top w:val="none" w:color="000000" w:sz="4"/>
                <w:left w:val="none" w:color="000000" w:sz="4"/>
                <w:bottom w:val="none" w:color="000000" w:sz="4"/>
                <w:right w:val="none" w:color="000000" w:sz="4"/>
                <w:insideH w:val="none"/>
                <w:insideV w:val="none"/>
              </w:tblBorders>
            </w:tblPr>
            <w:tblGrid>
              <w:gridCol w:w="348"/>
              <w:gridCol w:w="524"/>
              <w:gridCol w:w="556"/>
              <w:gridCol w:w="524"/>
              <w:gridCol w:w="511"/>
            </w:tblGrid>
            <w:tr>
              <w:tc>
                <w:tcPr>
                  <w:tcW w:type="dxa" w:w="3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5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行政区名称</w:t>
                  </w:r>
                </w:p>
              </w:tc>
              <w:tc>
                <w:tcPr>
                  <w:tcW w:type="dxa" w:w="5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自动雨量站</w:t>
                  </w:r>
                  <w:r>
                    <w:rPr>
                      <w:rFonts w:ascii="仿宋_GB2312" w:hAnsi="仿宋_GB2312" w:cs="仿宋_GB2312" w:eastAsia="仿宋_GB2312"/>
                      <w:sz w:val="21"/>
                      <w:b/>
                    </w:rPr>
                    <w:t>（处）</w:t>
                  </w:r>
                </w:p>
              </w:tc>
              <w:tc>
                <w:tcPr>
                  <w:tcW w:type="dxa" w:w="5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自动雨量水位一体站（处）</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合计</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临渭区</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华州区</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华阴县</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潼关县</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富平县</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白水县</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大荔县</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蒲城县</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澄城县</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合阳县</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韩城市</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总计</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132</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192</w:t>
                  </w:r>
                </w:p>
              </w:tc>
            </w:tr>
          </w:tbl>
          <w:p>
            <w:pPr>
              <w:pStyle w:val="null3"/>
              <w:ind w:firstLine="640"/>
              <w:jc w:val="both"/>
            </w:pPr>
            <w:r>
              <w:rPr>
                <w:rFonts w:ascii="仿宋_GB2312" w:hAnsi="仿宋_GB2312" w:cs="仿宋_GB2312" w:eastAsia="仿宋_GB2312"/>
                <w:sz w:val="21"/>
                <w:b/>
              </w:rPr>
              <w:t>附件</w:t>
            </w:r>
            <w:r>
              <w:rPr>
                <w:rFonts w:ascii="仿宋_GB2312" w:hAnsi="仿宋_GB2312" w:cs="仿宋_GB2312" w:eastAsia="仿宋_GB2312"/>
                <w:sz w:val="21"/>
                <w:b/>
              </w:rPr>
              <w:t>2：</w:t>
            </w:r>
            <w:r>
              <w:rPr>
                <w:rFonts w:ascii="仿宋_GB2312" w:hAnsi="仿宋_GB2312" w:cs="仿宋_GB2312" w:eastAsia="仿宋_GB2312"/>
                <w:sz w:val="21"/>
                <w:b/>
              </w:rPr>
              <w:t>渭南市山洪灾害雨水情自动</w:t>
            </w:r>
            <w:r>
              <w:rPr>
                <w:rFonts w:ascii="仿宋_GB2312" w:hAnsi="仿宋_GB2312" w:cs="仿宋_GB2312" w:eastAsia="仿宋_GB2312"/>
                <w:sz w:val="21"/>
                <w:b/>
              </w:rPr>
              <w:t>监测站点位置如下</w:t>
            </w:r>
          </w:p>
          <w:tbl>
            <w:tblPr>
              <w:tblInd w:type="dxa" w:w="90"/>
              <w:tblBorders>
                <w:top w:val="none" w:color="000000" w:sz="4"/>
                <w:left w:val="none" w:color="000000" w:sz="4"/>
                <w:bottom w:val="none" w:color="000000" w:sz="4"/>
                <w:right w:val="none" w:color="000000" w:sz="4"/>
                <w:insideH w:val="none"/>
                <w:insideV w:val="none"/>
              </w:tblBorders>
            </w:tblPr>
            <w:tblGrid>
              <w:gridCol w:w="220"/>
              <w:gridCol w:w="237"/>
              <w:gridCol w:w="337"/>
              <w:gridCol w:w="599"/>
              <w:gridCol w:w="395"/>
              <w:gridCol w:w="753"/>
            </w:tblGrid>
            <w:tr>
              <w:tc>
                <w:tcPr>
                  <w:tcW w:type="dxa" w:w="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行政区域</w:t>
                  </w:r>
                </w:p>
              </w:tc>
              <w:tc>
                <w:tcPr>
                  <w:tcW w:type="dxa" w:w="3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测站站号</w:t>
                  </w:r>
                </w:p>
              </w:tc>
              <w:tc>
                <w:tcPr>
                  <w:tcW w:type="dxa" w:w="5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测站名称</w:t>
                  </w:r>
                </w:p>
              </w:tc>
              <w:tc>
                <w:tcPr>
                  <w:tcW w:type="dxa" w:w="3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站点类型</w:t>
                  </w:r>
                </w:p>
              </w:tc>
              <w:tc>
                <w:tcPr>
                  <w:tcW w:type="dxa" w:w="7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具体位置</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临渭区</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41141504</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丰原</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丰原镇</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41111500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邢家河</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河道水位站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三观庙镇邢家河村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41141508</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渭南</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城区人民街</w:t>
                  </w:r>
                  <w:r>
                    <w:rPr>
                      <w:rFonts w:ascii="仿宋_GB2312" w:hAnsi="仿宋_GB2312" w:cs="仿宋_GB2312" w:eastAsia="仿宋_GB2312"/>
                      <w:sz w:val="21"/>
                      <w:color w:val="000000"/>
                    </w:rPr>
                    <w:t>45</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41111504</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尤河</w:t>
                  </w:r>
                  <w:r>
                    <w:rPr>
                      <w:rFonts w:ascii="仿宋_GB2312" w:hAnsi="仿宋_GB2312" w:cs="仿宋_GB2312" w:eastAsia="仿宋_GB2312"/>
                      <w:sz w:val="21"/>
                      <w:color w:val="000000"/>
                    </w:rPr>
                    <w:t>310*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河道水位站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尤河</w:t>
                  </w:r>
                  <w:r>
                    <w:rPr>
                      <w:rFonts w:ascii="仿宋_GB2312" w:hAnsi="仿宋_GB2312" w:cs="仿宋_GB2312" w:eastAsia="仿宋_GB2312"/>
                      <w:sz w:val="21"/>
                      <w:color w:val="000000"/>
                    </w:rPr>
                    <w:t>310</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41111510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孝南</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河道水位站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孝义镇孝义村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41141506</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闫村</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闫村镇供水站</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41111522</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箭峪</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河道水位站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箭峪河箭峪村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41141500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大王</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阳郭镇大王办</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41141510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花园</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桥南镇花园村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41111516</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赤水</w:t>
                  </w:r>
                  <w:r>
                    <w:rPr>
                      <w:rFonts w:ascii="仿宋_GB2312" w:hAnsi="仿宋_GB2312" w:cs="仿宋_GB2312" w:eastAsia="仿宋_GB2312"/>
                      <w:sz w:val="21"/>
                      <w:color w:val="000000"/>
                    </w:rPr>
                    <w:t>310*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河道水位站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310国道桥北</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41141502</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三张</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三张镇供水站</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41111518</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综合</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河道水位站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桥南镇综合村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41111508</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八里店</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河道水位站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双王办八里店</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41111514</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尤河</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河道水位站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人民街办尤河村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41141514</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阳郭</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阳郭镇韩马村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41111502</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三号沟</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河道水位站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站南街办韩马村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41111512</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河西</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河道水位站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桥南镇河西村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41111506</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西庆屯</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河道水位站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双王办西庆屯村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41141512</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桥南</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桥南镇箭峪供水站</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41111520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入渭口</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河道水位站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向阳办淹头村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2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华州区</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41141717</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文峪河（二龙潭）</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41141710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柳枝</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柳枝镇政府</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41111705</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车夫峪水库</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河道水位站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41141740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渔池</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大明镇渔池村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41141738</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西峪</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高塘镇西峪村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41141742</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东阳堡底</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大明镇东阳堡底村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41141702</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高塘</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高塘镇北村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41141714</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铁炉</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金堆镇铁炉村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41141726</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孙堡</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大明镇孙堡村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41141732</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花台子</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花台子村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41141729</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灰池村</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41141724</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栗西</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金堆镇栗西村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41141736</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少华山</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莲花寺镇</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41111701</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里寺水库</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河道水位站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41111702</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桥峪</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河道水位站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大明镇桥峪村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41141723</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草坪村</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41111706</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小峪</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河道水位站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大明镇</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41141721</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东坪村</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41141718</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金堆</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金堆镇政府办公楼</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41111700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小华山</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河道水位站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瓜坡镇</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41141706</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大明</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大明镇大平寺村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41111704</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泉沟</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河道水位站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瓜坡镇</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41141744</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赵家台</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河道水位站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柳枝镇赵家台村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41141712</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瓜坡</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瓜坡镇三刘村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41111712</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潭峪</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河道水位站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莲花寺潭峪水库</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41111714</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牛峪</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河道水位站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高塘镇龙山底村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41111708</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小夫峪</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河道水位站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莲花寺小夫峪水库</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41141713</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小华山水库上游（下李村）</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41111710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沟峪</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河道水位站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柳枝镇沟峪村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41111703</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秦王庄水库</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河道水位站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41141711</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冀家河水库</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41141704</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东峪</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高塘镇东峪村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41141716</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西坪</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金堆镇西坪村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41141708</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防办办公楼上</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41141722</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任家</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金堆镇任家村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41141720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栗峪</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金堆镇栗峪村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41141730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龙山</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杏林镇龙山村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41141734</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黄家</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黄家村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41141719</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栗峪河上游（栗峪四组）</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41141728</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马峪</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大明镇马峪村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2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华阴市</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41141804</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岳庙街办</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岳庙街办油巷村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41111806</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方山河</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河道水位站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罗敷镇方山村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41141802</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孟塬</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孟塬镇迪家村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41141800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华阴</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防办楼顶</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41111800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华山东门</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河道水位站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华山镇郝堡村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41111808</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华阳</w:t>
                  </w:r>
                  <w:r>
                    <w:rPr>
                      <w:rFonts w:ascii="仿宋_GB2312" w:hAnsi="仿宋_GB2312" w:cs="仿宋_GB2312" w:eastAsia="仿宋_GB2312"/>
                      <w:sz w:val="21"/>
                      <w:color w:val="000000"/>
                    </w:rPr>
                    <w:t>*（杜峪河）</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河道水位站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岳庙办杜峪口村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41141810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柳叶河</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华西镇北严村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41111810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蒲峪</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河道水位站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孟塬镇蒲峪村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41141812</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方山</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罗敷镇方山村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41141822</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罗管</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桃下管区东光村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41141818</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华西</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华西镇华西村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41141816</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桃林寨</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岳庙街办陈家村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41141806</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五方</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华山镇宁城村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41141808</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长涧河</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太华街办红丰村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41141814</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罗敷</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罗敷镇夫街村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41141820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北社管区</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岳庙街办北社村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41111802</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仙峪</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河道水位站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华山镇仙峪村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41111804</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岭上</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河道水位站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华山镇岭上村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w:t>
                  </w:r>
                </w:p>
              </w:tc>
              <w:tc>
                <w:tcPr>
                  <w:tcW w:type="dxa" w:w="2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潼关县</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40940012</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东官</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桐峪镇东官村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41141900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鱼化屯</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河道水位站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城关镇鱼化屯水库</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40940008</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十里铺</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秦东镇十里铺村委会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40940002</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桐峪</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桐峪镇桐峪村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40940004</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秦东</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秦东镇南街村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40940000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太峪</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太要镇太峪村</w:t>
                  </w:r>
                  <w:r>
                    <w:rPr>
                      <w:rFonts w:ascii="仿宋_GB2312" w:hAnsi="仿宋_GB2312" w:cs="仿宋_GB2312" w:eastAsia="仿宋_GB2312"/>
                      <w:sz w:val="21"/>
                      <w:color w:val="000000"/>
                    </w:rPr>
                    <w:t>3组</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41141904</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老虎城</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河道水位站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马玉七组老虎城村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40904002</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善车峪</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桐峪镇善车峪村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40940010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太峪水库</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太要镇老虎城村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41111900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苏村</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河道水位站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城关镇苏家村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40940006</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太要</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太要镇太要村</w:t>
                  </w:r>
                  <w:r>
                    <w:rPr>
                      <w:rFonts w:ascii="仿宋_GB2312" w:hAnsi="仿宋_GB2312" w:cs="仿宋_GB2312" w:eastAsia="仿宋_GB2312"/>
                      <w:sz w:val="21"/>
                      <w:color w:val="000000"/>
                    </w:rPr>
                    <w:t>2组</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41141908</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潼关</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城关镇桃林路</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40904000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东马</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河道水位站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代字营镇东马村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41141906</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税村</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城关镇税村</w:t>
                  </w:r>
                  <w:r>
                    <w:rPr>
                      <w:rFonts w:ascii="仿宋_GB2312" w:hAnsi="仿宋_GB2312" w:cs="仿宋_GB2312" w:eastAsia="仿宋_GB2312"/>
                      <w:sz w:val="21"/>
                      <w:color w:val="000000"/>
                    </w:rPr>
                    <w:t>2组</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41141902</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南头村</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南头乡政府</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40904004</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西潼峪</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安乐镇西潼峪村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41141910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安乐</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安乐乡毛沟村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w:t>
                  </w:r>
                </w:p>
              </w:tc>
              <w:tc>
                <w:tcPr>
                  <w:tcW w:type="dxa" w:w="2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富平县</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41141386</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十二盘</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薛镇十二盘村西组</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97</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41141394</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大张</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刘集镇大张村委</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41141392</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小元</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白庙镇小元村村委</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41141384</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底店</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曹村镇底店村委</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41141390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富平</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防办大楼上</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41141380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老庙</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老庙镇镇办</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41111384</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梅家坪</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河道水位站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梅家坪镇梅家坪村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103</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41141388</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觅子</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觅子乡政府大院</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41141382</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曹村</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曹村镇政府大院</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41111382</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店上</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河道水位站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峪岭镇店上村北组</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41111380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王马</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河道水位站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薛镇王马村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41111386</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顺阳河</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河道水位站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薛镇顺阳河口水泥厂</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w:t>
                  </w:r>
                </w:p>
              </w:tc>
              <w:tc>
                <w:tcPr>
                  <w:tcW w:type="dxa" w:w="2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蒲城县</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41325510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佛里</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永丰镇佛里村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41325516</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南黎起</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孙镇南黎起</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41313196</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尧堡</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河道水位站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孙镇尧堡北水源牌处下河路</w:t>
                  </w:r>
                  <w:r>
                    <w:rPr>
                      <w:rFonts w:ascii="仿宋_GB2312" w:hAnsi="仿宋_GB2312" w:cs="仿宋_GB2312" w:eastAsia="仿宋_GB2312"/>
                      <w:sz w:val="21"/>
                      <w:color w:val="000000"/>
                    </w:rPr>
                    <w:t>1.5km</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111</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41325522</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林吉</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党睦镇林吉村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112</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41325524</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上王</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上王镇上王村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113</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41325512</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晓光</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桥陵镇晓光村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114</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41325518</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王庄</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高阳镇王庄</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41313190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韩河</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河道水位站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洛滨镇韩家河村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116</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41313192</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焦庄</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河道水位站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孙镇焦庄电厂路到下寨抽水站</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117</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41325526</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徐家坡</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上王镇徐家坡村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118</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41325520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高背梁</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高阳镇高背梁</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119</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41313194</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南湾</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河道水位站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龙阳镇南湾村抽水一站</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41325514</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蒙家坡</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洛滨镇蒙家坡</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w:t>
                  </w:r>
                </w:p>
              </w:tc>
              <w:tc>
                <w:tcPr>
                  <w:tcW w:type="dxa" w:w="2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白水县</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41313500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南桥</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河道水位站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城关镇南桥村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122</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41326808</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林皋</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林皋镇林皋水库</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41326818</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冯家河</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杜康镇冯家河村</w:t>
                  </w:r>
                  <w:r>
                    <w:rPr>
                      <w:rFonts w:ascii="仿宋_GB2312" w:hAnsi="仿宋_GB2312" w:cs="仿宋_GB2312" w:eastAsia="仿宋_GB2312"/>
                      <w:sz w:val="21"/>
                      <w:color w:val="000000"/>
                    </w:rPr>
                    <w:t>5组</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124</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41326802</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古城</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城关镇古城村</w:t>
                  </w:r>
                  <w:r>
                    <w:rPr>
                      <w:rFonts w:ascii="仿宋_GB2312" w:hAnsi="仿宋_GB2312" w:cs="仿宋_GB2312" w:eastAsia="仿宋_GB2312"/>
                      <w:sz w:val="21"/>
                      <w:color w:val="000000"/>
                    </w:rPr>
                    <w:t>3组</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125</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41326816</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白水</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水务局大楼上</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126</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41313502</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武子</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河道水位站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林皋镇武子村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127</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41326810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龙山</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西固镇龙山村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41313510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故现</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河道水位站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西固镇王河村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129</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41313506</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南纪庄</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雷牙镇南纪庄村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41326812</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田家河</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河道水位站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西固镇田家河村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131</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41313512</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凉泉</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云台镇凉泉村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132</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41326804</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山岔</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云台镇山岔村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133</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41326800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铁牛河</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河道水位站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尧禾镇铁牛河水库</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134</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41326806</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五峰</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尧禾镇五峰村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41313508</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沙石坡</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林皋镇沙石坡村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136</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41326814</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张家船</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河道水位站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北塬镇张家船村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137</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41313504</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狄家河</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河道水位站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雷牙镇狄家河村洛河桥</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138</w:t>
                  </w:r>
                </w:p>
              </w:tc>
              <w:tc>
                <w:tcPr>
                  <w:tcW w:type="dxa" w:w="2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澄城县</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41313174</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三眼桥</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河道水位站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尧头镇曹村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139</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41325496</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樊家川</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交道镇樊家川村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140</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41325488</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桥家坡</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冯原镇叩卓村桥家坡</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141</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41313170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永内</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河道水位站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庄头乡呼家庄永内水库</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142</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41325490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良甫东坡</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王庄镇良富源村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143</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41325480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书堡</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冯原镇书堡村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144</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41325492</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大河口</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尧头镇石沟村大河口</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145</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41325484</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曹家山</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冯原镇魏仙桥村曹家山</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146</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41325494</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河坡</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赵庄镇咸合村河坡</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147</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41325482</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咸合</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赵庄镇咸合东庄</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148</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41313172</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红石崖</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河道水位站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红石崖镇红石崖水库</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149</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41325486</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贺家咀</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冯原镇迪家河村贺家咀</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2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大荔县</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40928960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两宜</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两宜镇政府</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151</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41325534</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步昌</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安仁镇步昌村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152</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40928962</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高明</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高明镇政府</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153</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41325530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埝桥</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埝桥镇政府</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154</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41325540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韦林</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韦林镇政府</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155</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41325538</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沙底</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朝邑镇沙底村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156</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41325532</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中汉</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许庄镇中汉村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157</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41325536</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朝邑</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朝邑镇政府</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158</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41141756</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石槽</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官池镇政府</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159</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41141758</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下寨</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下寨镇政府</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40902880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金水</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河道水位站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范家镇裕西村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161</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41141759</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苏村</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苏村镇政府</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w:t>
                  </w:r>
                </w:p>
              </w:tc>
              <w:tc>
                <w:tcPr>
                  <w:tcW w:type="dxa" w:w="2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合阳县</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41325508</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南王</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王村镇南王村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163</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41325506</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邓家寨</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金峪镇邓家寨</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164</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40902872</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太里</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河道水位站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坊镇太里村夏阳码头</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40928940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全兴寨</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马家庄全兴寨</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166</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40928952</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孟村</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甘井镇孟村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167</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40928942</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大原头</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知堡乡大原头一组</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168</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40928948</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八亩地</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同家庄乡八亩地村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169</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40928944</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三河</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百良镇三河村三组</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170</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41325504</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北永宁</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防虏寨北永宁村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171</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41325502</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沟北</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防虏寨沟北村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172</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41325500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朱家河</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金峪镇朱家河</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173</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40928950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上洼</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杨家庄上洼村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174</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40902870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白家河</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河道水位站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甘井镇白家河村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175</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40928946</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潘家山</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杨家庄潘家山村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176</w:t>
                  </w:r>
                </w:p>
              </w:tc>
              <w:tc>
                <w:tcPr>
                  <w:tcW w:type="dxa" w:w="2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韩城市</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40610500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岭底</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西庄镇岭底村乔家组</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177</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40640502</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柏峪</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柏峪镇柏峪村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178</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40928902</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盘河</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河道水位站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西庄镇盘河水库</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179</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40640506</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东风</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板桥镇东风村张岭组</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40640512</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灵火</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白马滩镇灵火村南岸组</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181</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40902842</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陈村</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河道水位站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芝川镇南陈村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182</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40640514</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乔儿</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西庄镇芦子村乔儿组</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183</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40610502</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王峰</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河道水位站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桑树坪镇涧东村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184</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40640500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桑树坪</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桑树坪镇桑树坪村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185</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40640508</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曹家山</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西庄镇曹家山村西南组</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186</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40640510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泗洲庙</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王峰镇泗洲庙村委</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187</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40610504</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白矾河</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河道水位站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龙门镇下白矾村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188</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40610506</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龙嘴</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河道水位站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西庄镇龙嘴村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189</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40928900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白马滩</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白马滩镇白马滩村白东组</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190</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40902840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牛心</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河道水位站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板桥镇牛心村</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191</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40928904</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崖着</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白马镇河西坡村崖着组</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192</w:t>
                  </w:r>
                </w:p>
              </w:tc>
              <w:tc>
                <w:tcPr>
                  <w:tcW w:type="dxa" w:w="237"/>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40640504</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神玉</w:t>
                  </w:r>
                  <w:r>
                    <w:rPr>
                      <w:rFonts w:ascii="仿宋_GB2312" w:hAnsi="仿宋_GB2312" w:cs="仿宋_GB2312" w:eastAsia="仿宋_GB2312"/>
                      <w:sz w:val="21"/>
                      <w:color w:val="000000"/>
                    </w:rPr>
                    <w:t>*</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雨量站</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白马滩镇神玉村神玉组</w:t>
                  </w:r>
                </w:p>
              </w:tc>
            </w:tr>
          </w:tbl>
          <w:p>
            <w:pPr>
              <w:pStyle w:val="null3"/>
              <w:ind w:firstLine="562"/>
              <w:jc w:val="both"/>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ind w:firstLine="562"/>
              <w:jc w:val="both"/>
            </w:pPr>
            <w:r>
              <w:rPr>
                <w:rFonts w:ascii="仿宋_GB2312" w:hAnsi="仿宋_GB2312" w:cs="仿宋_GB2312" w:eastAsia="仿宋_GB2312"/>
                <w:sz w:val="21"/>
                <w:b/>
              </w:rPr>
              <w:t>2.采购内容及要求</w:t>
            </w:r>
          </w:p>
          <w:p>
            <w:pPr>
              <w:pStyle w:val="null3"/>
              <w:ind w:firstLine="560"/>
              <w:jc w:val="both"/>
            </w:pPr>
            <w:r>
              <w:rPr>
                <w:rFonts w:ascii="仿宋_GB2312" w:hAnsi="仿宋_GB2312" w:cs="仿宋_GB2312" w:eastAsia="仿宋_GB2312"/>
                <w:sz w:val="21"/>
              </w:rPr>
              <w:t>由于监测站点设施设备运行时间较长，户外运行环境较差，部分设备老化，</w:t>
            </w:r>
            <w:r>
              <w:rPr>
                <w:rFonts w:ascii="仿宋_GB2312" w:hAnsi="仿宋_GB2312" w:cs="仿宋_GB2312" w:eastAsia="仿宋_GB2312"/>
                <w:sz w:val="21"/>
              </w:rPr>
              <w:t>数据监测准确性下降、传输稳定性保证性较低，</w:t>
            </w:r>
            <w:r>
              <w:rPr>
                <w:rFonts w:ascii="仿宋_GB2312" w:hAnsi="仿宋_GB2312" w:cs="仿宋_GB2312" w:eastAsia="仿宋_GB2312"/>
                <w:sz w:val="21"/>
              </w:rPr>
              <w:t>运维保障压力日益突出，为保障监测站点持续稳定运行，确保雨水情监测信息实时、准确、稳定高效传输，充分发挥监测预警体系防灾减灾作用，实施全市辖区内不少于</w:t>
            </w:r>
            <w:r>
              <w:rPr>
                <w:rFonts w:ascii="仿宋_GB2312" w:hAnsi="仿宋_GB2312" w:cs="仿宋_GB2312" w:eastAsia="仿宋_GB2312"/>
                <w:sz w:val="21"/>
              </w:rPr>
              <w:t>192处山洪灾害雨水情自动监测站点及设施设备进行运行维护非常必要。</w:t>
            </w:r>
            <w:r>
              <w:br/>
            </w:r>
            <w:r>
              <w:rPr>
                <w:rFonts w:ascii="仿宋_GB2312" w:hAnsi="仿宋_GB2312" w:cs="仿宋_GB2312" w:eastAsia="仿宋_GB2312"/>
                <w:sz w:val="21"/>
              </w:rPr>
              <w:t xml:space="preserve"> 具体采购需求表如下：</w:t>
            </w:r>
          </w:p>
          <w:tbl>
            <w:tblPr>
              <w:tblBorders>
                <w:top w:val="single"/>
                <w:left w:val="single"/>
                <w:bottom w:val="single"/>
                <w:right w:val="single"/>
                <w:insideH w:val="single"/>
                <w:insideV w:val="single"/>
              </w:tblBorders>
            </w:tblPr>
            <w:tblGrid>
              <w:gridCol w:w="130"/>
              <w:gridCol w:w="350"/>
              <w:gridCol w:w="1660"/>
              <w:gridCol w:w="130"/>
              <w:gridCol w:w="130"/>
              <w:gridCol w:w="147"/>
            </w:tblGrid>
            <w:tr>
              <w:tc>
                <w:tcPr>
                  <w:tcW w:type="dxa" w:w="2547"/>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b/>
                      <w:color w:val="000000"/>
                    </w:rPr>
                    <w:t>山洪灾害防治非工程措施维修养护项目采购需求表</w:t>
                  </w:r>
                </w:p>
              </w:tc>
            </w:tr>
            <w:tr>
              <w:tc>
                <w:tcPr>
                  <w:tcW w:type="dxa" w:w="130"/>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b/>
                      <w:color w:val="000000"/>
                    </w:rPr>
                    <w:t>序号</w:t>
                  </w:r>
                </w:p>
              </w:tc>
              <w:tc>
                <w:tcPr>
                  <w:tcW w:type="dxa" w:w="350"/>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b/>
                      <w:color w:val="000000"/>
                    </w:rPr>
                    <w:t>任务类型</w:t>
                  </w:r>
                </w:p>
              </w:tc>
              <w:tc>
                <w:tcPr>
                  <w:tcW w:type="dxa" w:w="1660"/>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b/>
                      <w:color w:val="000000"/>
                    </w:rPr>
                    <w:t>服务要求/规格参数</w:t>
                  </w:r>
                </w:p>
              </w:tc>
              <w:tc>
                <w:tcPr>
                  <w:tcW w:type="dxa" w:w="130"/>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b/>
                      <w:color w:val="000000"/>
                    </w:rPr>
                    <w:t>单位</w:t>
                  </w:r>
                </w:p>
              </w:tc>
              <w:tc>
                <w:tcPr>
                  <w:tcW w:type="dxa" w:w="130"/>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b/>
                      <w:color w:val="000000"/>
                    </w:rPr>
                    <w:t>数量</w:t>
                  </w:r>
                </w:p>
              </w:tc>
              <w:tc>
                <w:tcPr>
                  <w:tcW w:type="dxa" w:w="147"/>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b/>
                      <w:color w:val="000000"/>
                    </w:rPr>
                    <w:t>备注</w:t>
                  </w: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b/>
                      <w:color w:val="000000"/>
                    </w:rPr>
                    <w:t>1</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b/>
                      <w:color w:val="000000"/>
                    </w:rPr>
                    <w:t>站点运行维护</w:t>
                  </w:r>
                </w:p>
              </w:tc>
              <w:tc>
                <w:tcPr>
                  <w:tcW w:type="dxa" w:w="16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b/>
                      <w:color w:val="000000"/>
                    </w:rPr>
                    <w:t>服务要求</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1.1</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自动雨量站</w:t>
                  </w:r>
                  <w:r>
                    <w:br/>
                  </w:r>
                  <w:r>
                    <w:rPr>
                      <w:rFonts w:ascii="仿宋_GB2312" w:hAnsi="仿宋_GB2312" w:cs="仿宋_GB2312" w:eastAsia="仿宋_GB2312"/>
                      <w:sz w:val="21"/>
                      <w:color w:val="000000"/>
                    </w:rPr>
                    <w:t xml:space="preserve"> 运维</w:t>
                  </w:r>
                </w:p>
              </w:tc>
              <w:tc>
                <w:tcPr>
                  <w:tcW w:type="dxa" w:w="16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1.基础维护：设备状态检测、巡检除尘、雨量筒清洗，站点环境整治</w:t>
                  </w:r>
                  <w:r>
                    <w:br/>
                  </w:r>
                  <w:r>
                    <w:rPr>
                      <w:rFonts w:ascii="仿宋_GB2312" w:hAnsi="仿宋_GB2312" w:cs="仿宋_GB2312" w:eastAsia="仿宋_GB2312"/>
                      <w:sz w:val="21"/>
                      <w:color w:val="000000"/>
                    </w:rPr>
                    <w:t xml:space="preserve"> 2.设备调试：供电测试、接口测试、数据校核、故障排除、异常数据处理、数据备份</w:t>
                  </w:r>
                  <w:r>
                    <w:br/>
                  </w:r>
                  <w:r>
                    <w:rPr>
                      <w:rFonts w:ascii="仿宋_GB2312" w:hAnsi="仿宋_GB2312" w:cs="仿宋_GB2312" w:eastAsia="仿宋_GB2312"/>
                      <w:sz w:val="21"/>
                      <w:color w:val="000000"/>
                    </w:rPr>
                    <w:t xml:space="preserve"> 3.更换维护：损坏部件更换、流量卡缴费</w:t>
                  </w:r>
                  <w:r>
                    <w:br/>
                  </w:r>
                  <w:r>
                    <w:rPr>
                      <w:rFonts w:ascii="仿宋_GB2312" w:hAnsi="仿宋_GB2312" w:cs="仿宋_GB2312" w:eastAsia="仿宋_GB2312"/>
                      <w:sz w:val="21"/>
                      <w:color w:val="000000"/>
                    </w:rPr>
                    <w:t xml:space="preserve"> 4.人员保障：常驻至少2名运维工程师，24小时值守，交通保障</w:t>
                  </w:r>
                  <w:r>
                    <w:br/>
                  </w:r>
                  <w:r>
                    <w:rPr>
                      <w:rFonts w:ascii="仿宋_GB2312" w:hAnsi="仿宋_GB2312" w:cs="仿宋_GB2312" w:eastAsia="仿宋_GB2312"/>
                      <w:sz w:val="21"/>
                      <w:color w:val="000000"/>
                    </w:rPr>
                    <w:t xml:space="preserve"> 5.巡检要求：5月底前进行1轮次全面巡检维护；汛期6-10月进行3轮次全面巡检维护；非汛期11月－次年4月：配合处置应急突发故障</w:t>
                  </w:r>
                  <w:r>
                    <w:br/>
                  </w:r>
                  <w:r>
                    <w:rPr>
                      <w:rFonts w:ascii="仿宋_GB2312" w:hAnsi="仿宋_GB2312" w:cs="仿宋_GB2312" w:eastAsia="仿宋_GB2312"/>
                      <w:sz w:val="21"/>
                      <w:color w:val="000000"/>
                    </w:rPr>
                    <w:t xml:space="preserve"> 6.故障响应：1小时响应，市级平台2小时、站点8小时到场，24小时修复，无法修复立即启用备用设备</w:t>
                  </w:r>
                  <w:r>
                    <w:br/>
                  </w:r>
                  <w:r>
                    <w:rPr>
                      <w:rFonts w:ascii="仿宋_GB2312" w:hAnsi="仿宋_GB2312" w:cs="仿宋_GB2312" w:eastAsia="仿宋_GB2312"/>
                      <w:sz w:val="21"/>
                      <w:color w:val="000000"/>
                    </w:rPr>
                    <w:t xml:space="preserve"> 7.降雨保障：雨前保在线，雨后核数据、处理故障                            8.安装测站标志牌。     </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站</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132</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1.2</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自动雨量</w:t>
                  </w:r>
                  <w:r>
                    <w:br/>
                  </w:r>
                  <w:r>
                    <w:rPr>
                      <w:rFonts w:ascii="仿宋_GB2312" w:hAnsi="仿宋_GB2312" w:cs="仿宋_GB2312" w:eastAsia="仿宋_GB2312"/>
                      <w:sz w:val="21"/>
                      <w:color w:val="000000"/>
                    </w:rPr>
                    <w:t xml:space="preserve"> 水位站运维</w:t>
                  </w:r>
                </w:p>
              </w:tc>
              <w:tc>
                <w:tcPr>
                  <w:tcW w:type="dxa" w:w="16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服务要求同自动雨量站运维</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站</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60</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1.3</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雨量站迁移</w:t>
                  </w:r>
                </w:p>
              </w:tc>
              <w:tc>
                <w:tcPr>
                  <w:tcW w:type="dxa" w:w="16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站址选择、设备拆卸、运输安装、调试联网</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站</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23</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1.4</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雨量站基础</w:t>
                  </w:r>
                </w:p>
              </w:tc>
              <w:tc>
                <w:tcPr>
                  <w:tcW w:type="dxa" w:w="16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定制，更换安装，保证设备稳定</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站</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25</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1.5</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雨量立杆</w:t>
                  </w:r>
                </w:p>
              </w:tc>
              <w:tc>
                <w:tcPr>
                  <w:tcW w:type="dxa" w:w="16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定制，国标镀锌钢管，直径≥DN100，高度≥1.5米，更换安装</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个</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9</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1.6</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雨量水位站迁建</w:t>
                  </w:r>
                </w:p>
              </w:tc>
              <w:tc>
                <w:tcPr>
                  <w:tcW w:type="dxa" w:w="16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站址选择、设备拆卸、运输安装、调试联网，含基础预埋</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站</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8</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1.7</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水位站横臂更新</w:t>
                  </w:r>
                </w:p>
              </w:tc>
              <w:tc>
                <w:tcPr>
                  <w:tcW w:type="dxa" w:w="16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定制，国标镀锌材质，直径≥DN80，更换安装</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站</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19</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1.8</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水位站立杆</w:t>
                  </w:r>
                </w:p>
              </w:tc>
              <w:tc>
                <w:tcPr>
                  <w:tcW w:type="dxa" w:w="16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定制，国标镀锌钢管，直径≥DN219，高度6M，更换安装</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个</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8</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b/>
                      <w:color w:val="000000"/>
                    </w:rPr>
                    <w:t>2</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b/>
                      <w:color w:val="000000"/>
                    </w:rPr>
                    <w:t>设备更新</w:t>
                  </w:r>
                </w:p>
              </w:tc>
              <w:tc>
                <w:tcPr>
                  <w:tcW w:type="dxa" w:w="16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b/>
                      <w:color w:val="000000"/>
                    </w:rPr>
                    <w:t>规格参数</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2.1</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遥测终端机（RTU）</w:t>
                  </w:r>
                </w:p>
              </w:tc>
              <w:tc>
                <w:tcPr>
                  <w:tcW w:type="dxa" w:w="16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1.具备本地数据存储、支持一发多收、上传陕西省山洪灾害预警平台</w:t>
                  </w:r>
                  <w:r>
                    <w:br/>
                  </w:r>
                  <w:r>
                    <w:rPr>
                      <w:rFonts w:ascii="仿宋_GB2312" w:hAnsi="仿宋_GB2312" w:cs="仿宋_GB2312" w:eastAsia="仿宋_GB2312"/>
                      <w:sz w:val="21"/>
                      <w:color w:val="000000"/>
                    </w:rPr>
                    <w:t xml:space="preserve"> 2.支持定时/加报雨量水位数据</w:t>
                  </w:r>
                  <w:r>
                    <w:br/>
                  </w:r>
                  <w:r>
                    <w:rPr>
                      <w:rFonts w:ascii="仿宋_GB2312" w:hAnsi="仿宋_GB2312" w:cs="仿宋_GB2312" w:eastAsia="仿宋_GB2312"/>
                      <w:sz w:val="21"/>
                      <w:color w:val="000000"/>
                    </w:rPr>
                    <w:t xml:space="preserve"> 3.支持远程配置、远程升级，支持手机APP配置。</w:t>
                  </w:r>
                  <w:r>
                    <w:br/>
                  </w:r>
                  <w:r>
                    <w:rPr>
                      <w:rFonts w:ascii="仿宋_GB2312" w:hAnsi="仿宋_GB2312" w:cs="仿宋_GB2312" w:eastAsia="仿宋_GB2312"/>
                      <w:sz w:val="21"/>
                      <w:color w:val="000000"/>
                    </w:rPr>
                    <w:t xml:space="preserve"> 4.设备通过《水文监测数据通信规约》SL651-2014规约测试。</w:t>
                  </w:r>
                  <w:r>
                    <w:br/>
                  </w:r>
                  <w:r>
                    <w:rPr>
                      <w:rFonts w:ascii="仿宋_GB2312" w:hAnsi="仿宋_GB2312" w:cs="仿宋_GB2312" w:eastAsia="仿宋_GB2312"/>
                      <w:sz w:val="21"/>
                      <w:color w:val="000000"/>
                    </w:rPr>
                    <w:t xml:space="preserve"> 5.通信方式：4G 全网通，机卡分离，禁止内置卡；</w:t>
                  </w:r>
                  <w:r>
                    <w:br/>
                  </w:r>
                  <w:r>
                    <w:rPr>
                      <w:rFonts w:ascii="仿宋_GB2312" w:hAnsi="仿宋_GB2312" w:cs="仿宋_GB2312" w:eastAsia="仿宋_GB2312"/>
                      <w:sz w:val="21"/>
                      <w:color w:val="000000"/>
                    </w:rPr>
                    <w:t xml:space="preserve"> 6.接口：RS485口≥2 个，4—20mA 接口≥1 个，RJ45 口 ≥1 个；</w:t>
                  </w:r>
                  <w:r>
                    <w:br/>
                  </w:r>
                  <w:r>
                    <w:rPr>
                      <w:rFonts w:ascii="仿宋_GB2312" w:hAnsi="仿宋_GB2312" w:cs="仿宋_GB2312" w:eastAsia="仿宋_GB2312"/>
                      <w:sz w:val="21"/>
                      <w:color w:val="000000"/>
                    </w:rPr>
                    <w:t xml:space="preserve"> 7、带液晶显示，MTBF≥25000h；</w:t>
                  </w:r>
                  <w:r>
                    <w:br/>
                  </w:r>
                  <w:r>
                    <w:rPr>
                      <w:rFonts w:ascii="仿宋_GB2312" w:hAnsi="仿宋_GB2312" w:cs="仿宋_GB2312" w:eastAsia="仿宋_GB2312"/>
                      <w:sz w:val="21"/>
                      <w:color w:val="000000"/>
                    </w:rPr>
                    <w:t xml:space="preserve"> 8、工作温度：-20～60℃；工作湿度：≤95%RH(40℃) 。                         </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台</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54</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2.2</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雨量计</w:t>
                  </w:r>
                </w:p>
              </w:tc>
              <w:tc>
                <w:tcPr>
                  <w:tcW w:type="dxa" w:w="16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1.不锈钢材质，承雨口内径Φ200+0.6mm，带过滤网</w:t>
                  </w:r>
                  <w:r>
                    <w:br/>
                  </w:r>
                  <w:r>
                    <w:rPr>
                      <w:rFonts w:ascii="仿宋_GB2312" w:hAnsi="仿宋_GB2312" w:cs="仿宋_GB2312" w:eastAsia="仿宋_GB2312"/>
                      <w:sz w:val="21"/>
                      <w:color w:val="000000"/>
                    </w:rPr>
                    <w:t xml:space="preserve"> 2.分辨率0.2mm，双触点通断信号输出；</w:t>
                  </w:r>
                  <w:r>
                    <w:br/>
                  </w:r>
                  <w:r>
                    <w:rPr>
                      <w:rFonts w:ascii="仿宋_GB2312" w:hAnsi="仿宋_GB2312" w:cs="仿宋_GB2312" w:eastAsia="仿宋_GB2312"/>
                      <w:sz w:val="21"/>
                      <w:color w:val="000000"/>
                    </w:rPr>
                    <w:t xml:space="preserve"> 3、翻斗、漏斗材质为不锈钢</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台</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6</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2.3</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雷达水位计</w:t>
                  </w:r>
                </w:p>
              </w:tc>
              <w:tc>
                <w:tcPr>
                  <w:tcW w:type="dxa" w:w="16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1.测量范围：0～30m；</w:t>
                  </w:r>
                  <w:r>
                    <w:br/>
                  </w:r>
                  <w:r>
                    <w:rPr>
                      <w:rFonts w:ascii="仿宋_GB2312" w:hAnsi="仿宋_GB2312" w:cs="仿宋_GB2312" w:eastAsia="仿宋_GB2312"/>
                      <w:sz w:val="21"/>
                      <w:color w:val="000000"/>
                    </w:rPr>
                    <w:t xml:space="preserve"> 2.测量精度： ±1mm；</w:t>
                  </w:r>
                  <w:r>
                    <w:br/>
                  </w:r>
                  <w:r>
                    <w:rPr>
                      <w:rFonts w:ascii="仿宋_GB2312" w:hAnsi="仿宋_GB2312" w:cs="仿宋_GB2312" w:eastAsia="仿宋_GB2312"/>
                      <w:sz w:val="21"/>
                      <w:color w:val="000000"/>
                    </w:rPr>
                    <w:t xml:space="preserve"> 3.水位变率：不低于 40cm/min；</w:t>
                  </w:r>
                  <w:r>
                    <w:br/>
                  </w:r>
                  <w:r>
                    <w:rPr>
                      <w:rFonts w:ascii="仿宋_GB2312" w:hAnsi="仿宋_GB2312" w:cs="仿宋_GB2312" w:eastAsia="仿宋_GB2312"/>
                      <w:sz w:val="21"/>
                      <w:color w:val="000000"/>
                    </w:rPr>
                    <w:t xml:space="preserve"> 4.接口：RS485/RS232/MODBUS协议/4—20mA；</w:t>
                  </w:r>
                  <w:r>
                    <w:br/>
                  </w:r>
                  <w:r>
                    <w:rPr>
                      <w:rFonts w:ascii="仿宋_GB2312" w:hAnsi="仿宋_GB2312" w:cs="仿宋_GB2312" w:eastAsia="仿宋_GB2312"/>
                      <w:sz w:val="21"/>
                      <w:color w:val="000000"/>
                    </w:rPr>
                    <w:t xml:space="preserve"> 5.MTBF: ≥16000h;</w:t>
                  </w:r>
                  <w:r>
                    <w:br/>
                  </w:r>
                  <w:r>
                    <w:rPr>
                      <w:rFonts w:ascii="仿宋_GB2312" w:hAnsi="仿宋_GB2312" w:cs="仿宋_GB2312" w:eastAsia="仿宋_GB2312"/>
                      <w:sz w:val="21"/>
                      <w:color w:val="000000"/>
                    </w:rPr>
                    <w:t xml:space="preserve"> 6.防雷：集成防雷功能 6KV；</w:t>
                  </w:r>
                  <w:r>
                    <w:br/>
                  </w:r>
                  <w:r>
                    <w:rPr>
                      <w:rFonts w:ascii="仿宋_GB2312" w:hAnsi="仿宋_GB2312" w:cs="仿宋_GB2312" w:eastAsia="仿宋_GB2312"/>
                      <w:sz w:val="21"/>
                      <w:color w:val="000000"/>
                    </w:rPr>
                    <w:t xml:space="preserve"> 7.供电电压：12V；</w:t>
                  </w:r>
                  <w:r>
                    <w:br/>
                  </w:r>
                  <w:r>
                    <w:rPr>
                      <w:rFonts w:ascii="仿宋_GB2312" w:hAnsi="仿宋_GB2312" w:cs="仿宋_GB2312" w:eastAsia="仿宋_GB2312"/>
                      <w:sz w:val="21"/>
                      <w:color w:val="000000"/>
                    </w:rPr>
                    <w:t xml:space="preserve"> 8.防护等级：IP68；</w:t>
                  </w:r>
                  <w:r>
                    <w:br/>
                  </w:r>
                  <w:r>
                    <w:rPr>
                      <w:rFonts w:ascii="仿宋_GB2312" w:hAnsi="仿宋_GB2312" w:cs="仿宋_GB2312" w:eastAsia="仿宋_GB2312"/>
                      <w:sz w:val="21"/>
                      <w:color w:val="000000"/>
                    </w:rPr>
                    <w:t xml:space="preserve"> 9、工作温度：-10～50℃。                                        </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台</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19</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2.4</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雨量太阳能板</w:t>
                  </w:r>
                </w:p>
              </w:tc>
              <w:tc>
                <w:tcPr>
                  <w:tcW w:type="dxa" w:w="16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输出功率≥40W，配备国标镀锌安装支架</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块</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9</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2.5</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水位太阳能板</w:t>
                  </w:r>
                </w:p>
              </w:tc>
              <w:tc>
                <w:tcPr>
                  <w:tcW w:type="dxa" w:w="16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输出功率≥100W，配备国标镀锌安装支架</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块</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6</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2.6</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雨量蓄电池</w:t>
                  </w:r>
                </w:p>
              </w:tc>
              <w:tc>
                <w:tcPr>
                  <w:tcW w:type="dxa" w:w="16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锂电池，≥12V 38AH，具有太阳能充电控制功能</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块</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65</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2.7</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水位蓄电池</w:t>
                  </w:r>
                </w:p>
              </w:tc>
              <w:tc>
                <w:tcPr>
                  <w:tcW w:type="dxa" w:w="16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锂电池，≥12V 100AH，具有太阳能充电控制功能</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块</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27</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2.8</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设备箱</w:t>
                  </w:r>
                </w:p>
              </w:tc>
              <w:tc>
                <w:tcPr>
                  <w:tcW w:type="dxa" w:w="16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1.5mm不锈钢板制作，表面喷字，防水防盗</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套</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30</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b/>
                      <w:color w:val="000000"/>
                    </w:rPr>
                    <w:t>3</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b/>
                      <w:color w:val="000000"/>
                    </w:rPr>
                    <w:t>物联网卡</w:t>
                  </w:r>
                </w:p>
              </w:tc>
              <w:tc>
                <w:tcPr>
                  <w:tcW w:type="dxa" w:w="16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b/>
                      <w:color w:val="000000"/>
                    </w:rPr>
                    <w:t>通信要求</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3.1</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物联卡流量费</w:t>
                  </w:r>
                </w:p>
              </w:tc>
              <w:tc>
                <w:tcPr>
                  <w:tcW w:type="dxa" w:w="16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每月≥300M，根据现场信号强度选择运营商</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张</w:t>
                  </w:r>
                </w:p>
              </w:tc>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192</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r>
          </w:tbl>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spacing w:before="105"/>
              <w:jc w:val="both"/>
            </w:pPr>
            <w:r>
              <w:rPr>
                <w:rFonts w:ascii="仿宋_GB2312" w:hAnsi="仿宋_GB2312" w:cs="仿宋_GB2312" w:eastAsia="仿宋_GB2312"/>
                <w:sz w:val="21"/>
                <w:b/>
              </w:rPr>
              <w:t>二</w:t>
            </w:r>
            <w:r>
              <w:rPr>
                <w:rFonts w:ascii="仿宋_GB2312" w:hAnsi="仿宋_GB2312" w:cs="仿宋_GB2312" w:eastAsia="仿宋_GB2312"/>
                <w:sz w:val="21"/>
                <w:b/>
              </w:rPr>
              <w:t>、</w:t>
            </w:r>
            <w:r>
              <w:rPr>
                <w:rFonts w:ascii="仿宋_GB2312" w:hAnsi="仿宋_GB2312" w:cs="仿宋_GB2312" w:eastAsia="仿宋_GB2312"/>
                <w:sz w:val="21"/>
                <w:b/>
              </w:rPr>
              <w:t>商务要求</w:t>
            </w:r>
          </w:p>
          <w:p>
            <w:pPr>
              <w:pStyle w:val="null3"/>
              <w:spacing w:before="180"/>
              <w:ind w:left="570"/>
              <w:jc w:val="both"/>
            </w:pPr>
            <w:r>
              <w:rPr>
                <w:rFonts w:ascii="仿宋_GB2312" w:hAnsi="仿宋_GB2312" w:cs="仿宋_GB2312" w:eastAsia="仿宋_GB2312"/>
                <w:sz w:val="21"/>
              </w:rPr>
              <w:t>1、</w:t>
            </w:r>
            <w:r>
              <w:rPr>
                <w:rFonts w:ascii="仿宋_GB2312" w:hAnsi="仿宋_GB2312" w:cs="仿宋_GB2312" w:eastAsia="仿宋_GB2312"/>
                <w:sz w:val="21"/>
              </w:rPr>
              <w:t>服务期限：自合同签订之日起</w:t>
            </w:r>
            <w:r>
              <w:rPr>
                <w:rFonts w:ascii="仿宋_GB2312" w:hAnsi="仿宋_GB2312" w:cs="仿宋_GB2312" w:eastAsia="仿宋_GB2312"/>
                <w:sz w:val="21"/>
              </w:rPr>
              <w:t>1年。</w:t>
            </w:r>
          </w:p>
          <w:p>
            <w:pPr>
              <w:pStyle w:val="null3"/>
              <w:spacing w:before="180"/>
              <w:ind w:left="555"/>
              <w:jc w:val="both"/>
            </w:pPr>
            <w:r>
              <w:rPr>
                <w:rFonts w:ascii="仿宋_GB2312" w:hAnsi="仿宋_GB2312" w:cs="仿宋_GB2312" w:eastAsia="仿宋_GB2312"/>
                <w:sz w:val="21"/>
              </w:rPr>
              <w:t>2、服务地点：</w:t>
            </w:r>
            <w:r>
              <w:rPr>
                <w:rFonts w:ascii="仿宋_GB2312" w:hAnsi="仿宋_GB2312" w:cs="仿宋_GB2312" w:eastAsia="仿宋_GB2312"/>
                <w:sz w:val="21"/>
              </w:rPr>
              <w:t>渭南市</w:t>
            </w:r>
            <w:r>
              <w:rPr>
                <w:rFonts w:ascii="仿宋_GB2312" w:hAnsi="仿宋_GB2312" w:cs="仿宋_GB2312" w:eastAsia="仿宋_GB2312"/>
                <w:sz w:val="21"/>
              </w:rPr>
              <w:t>。</w:t>
            </w:r>
          </w:p>
          <w:p>
            <w:pPr>
              <w:pStyle w:val="null3"/>
              <w:spacing w:before="180"/>
              <w:ind w:left="555"/>
              <w:jc w:val="both"/>
            </w:pPr>
            <w:r>
              <w:rPr>
                <w:rFonts w:ascii="仿宋_GB2312" w:hAnsi="仿宋_GB2312" w:cs="仿宋_GB2312" w:eastAsia="仿宋_GB2312"/>
                <w:sz w:val="21"/>
              </w:rPr>
              <w:t>3、 服务要求</w:t>
            </w:r>
          </w:p>
          <w:p>
            <w:pPr>
              <w:pStyle w:val="null3"/>
              <w:spacing w:before="180"/>
              <w:ind w:firstLine="532"/>
              <w:jc w:val="both"/>
            </w:pPr>
            <w:r>
              <w:rPr>
                <w:rFonts w:ascii="仿宋_GB2312" w:hAnsi="仿宋_GB2312" w:cs="仿宋_GB2312" w:eastAsia="仿宋_GB2312"/>
                <w:sz w:val="21"/>
              </w:rPr>
              <w:t>（</w:t>
            </w:r>
            <w:r>
              <w:rPr>
                <w:rFonts w:ascii="仿宋_GB2312" w:hAnsi="仿宋_GB2312" w:cs="仿宋_GB2312" w:eastAsia="仿宋_GB2312"/>
                <w:sz w:val="21"/>
              </w:rPr>
              <w:t>1）.运维目标：通过专业运维服务，保障渭南市山洪灾害预警平台不少于192处监测设施设备全年稳定运行，核心目标是保障汛期（5-10月）全市不少于192处监测站点数据上线率≥95%，以陕西水防APP统计的服务期上线率≥95%为考核标准；强降雨预报发布后，未上线的站点需在24小时内修复上线。</w:t>
            </w:r>
          </w:p>
          <w:p>
            <w:pPr>
              <w:pStyle w:val="null3"/>
              <w:spacing w:before="180"/>
              <w:ind w:firstLine="532"/>
              <w:jc w:val="both"/>
            </w:pPr>
            <w:r>
              <w:rPr>
                <w:rFonts w:ascii="仿宋_GB2312" w:hAnsi="仿宋_GB2312" w:cs="仿宋_GB2312" w:eastAsia="仿宋_GB2312"/>
                <w:sz w:val="21"/>
              </w:rPr>
              <w:t>（</w:t>
            </w:r>
            <w:r>
              <w:rPr>
                <w:rFonts w:ascii="仿宋_GB2312" w:hAnsi="仿宋_GB2312" w:cs="仿宋_GB2312" w:eastAsia="仿宋_GB2312"/>
                <w:sz w:val="21"/>
              </w:rPr>
              <w:t>2）.设备质量要求：设备必须符合中华人民共和国现行有效的相关法律法规的要求和采购要求的技术标准、参数等，设备质保期为一年。</w:t>
            </w:r>
          </w:p>
          <w:p>
            <w:pPr>
              <w:pStyle w:val="null3"/>
              <w:spacing w:before="180"/>
              <w:ind w:firstLine="532"/>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.服务响应时间</w:t>
            </w:r>
          </w:p>
          <w:p>
            <w:pPr>
              <w:pStyle w:val="null3"/>
              <w:spacing w:before="180"/>
              <w:ind w:firstLine="798"/>
              <w:jc w:val="both"/>
            </w:pPr>
            <w:r>
              <w:rPr>
                <w:rFonts w:ascii="仿宋_GB2312" w:hAnsi="仿宋_GB2312" w:cs="仿宋_GB2312" w:eastAsia="仿宋_GB2312"/>
                <w:sz w:val="21"/>
              </w:rPr>
              <w:t>1）周期性巡检</w:t>
            </w:r>
          </w:p>
          <w:p>
            <w:pPr>
              <w:pStyle w:val="null3"/>
              <w:spacing w:before="180"/>
              <w:ind w:left="825"/>
              <w:jc w:val="both"/>
            </w:pPr>
            <w:r>
              <w:rPr>
                <w:rFonts w:ascii="仿宋_GB2312" w:hAnsi="仿宋_GB2312" w:cs="仿宋_GB2312" w:eastAsia="仿宋_GB2312"/>
                <w:sz w:val="21"/>
              </w:rPr>
              <w:t>汛前（</w:t>
            </w:r>
            <w:r>
              <w:rPr>
                <w:rFonts w:ascii="仿宋_GB2312" w:hAnsi="仿宋_GB2312" w:cs="仿宋_GB2312" w:eastAsia="仿宋_GB2312"/>
                <w:sz w:val="21"/>
              </w:rPr>
              <w:t>5月底前）：进行1轮次全市站点全面巡检维护，保障站点正常运行，数据稳定上传。</w:t>
            </w:r>
          </w:p>
          <w:p>
            <w:pPr>
              <w:pStyle w:val="null3"/>
              <w:spacing w:before="180"/>
              <w:ind w:left="825"/>
              <w:jc w:val="both"/>
            </w:pPr>
            <w:r>
              <w:rPr>
                <w:rFonts w:ascii="仿宋_GB2312" w:hAnsi="仿宋_GB2312" w:cs="仿宋_GB2312" w:eastAsia="仿宋_GB2312"/>
                <w:sz w:val="21"/>
              </w:rPr>
              <w:t>汛期（6</w:t>
            </w:r>
            <w:r>
              <w:rPr>
                <w:rFonts w:ascii="仿宋_GB2312" w:hAnsi="仿宋_GB2312" w:cs="仿宋_GB2312" w:eastAsia="仿宋_GB2312"/>
                <w:sz w:val="21"/>
              </w:rPr>
              <w:t>-10月）：进行3轮次全市站点全面巡检维护，</w:t>
            </w:r>
            <w:r>
              <w:rPr>
                <w:rFonts w:ascii="仿宋_GB2312" w:hAnsi="仿宋_GB2312" w:cs="仿宋_GB2312" w:eastAsia="仿宋_GB2312"/>
                <w:sz w:val="21"/>
              </w:rPr>
              <w:t>保障站点正常运行，</w:t>
            </w:r>
            <w:r>
              <w:rPr>
                <w:rFonts w:ascii="仿宋_GB2312" w:hAnsi="仿宋_GB2312" w:cs="仿宋_GB2312" w:eastAsia="仿宋_GB2312"/>
                <w:sz w:val="21"/>
              </w:rPr>
              <w:t>数据稳定上传。</w:t>
            </w:r>
          </w:p>
          <w:p>
            <w:pPr>
              <w:pStyle w:val="null3"/>
              <w:spacing w:before="180"/>
              <w:ind w:left="825"/>
              <w:jc w:val="both"/>
            </w:pPr>
            <w:r>
              <w:rPr>
                <w:rFonts w:ascii="仿宋_GB2312" w:hAnsi="仿宋_GB2312" w:cs="仿宋_GB2312" w:eastAsia="仿宋_GB2312"/>
                <w:sz w:val="21"/>
              </w:rPr>
              <w:t>非汛期（</w:t>
            </w:r>
            <w:r>
              <w:rPr>
                <w:rFonts w:ascii="仿宋_GB2312" w:hAnsi="仿宋_GB2312" w:cs="仿宋_GB2312" w:eastAsia="仿宋_GB2312"/>
                <w:sz w:val="21"/>
              </w:rPr>
              <w:t>11月—次年4月）：配合处置突发问题应急处置，保障</w:t>
            </w:r>
            <w:r>
              <w:rPr>
                <w:rFonts w:ascii="仿宋_GB2312" w:hAnsi="仿宋_GB2312" w:cs="仿宋_GB2312" w:eastAsia="仿宋_GB2312"/>
                <w:sz w:val="21"/>
              </w:rPr>
              <w:t>站点</w:t>
            </w:r>
            <w:r>
              <w:rPr>
                <w:rFonts w:ascii="仿宋_GB2312" w:hAnsi="仿宋_GB2312" w:cs="仿宋_GB2312" w:eastAsia="仿宋_GB2312"/>
                <w:sz w:val="21"/>
              </w:rPr>
              <w:t>正常运行。</w:t>
            </w:r>
          </w:p>
          <w:p>
            <w:pPr>
              <w:pStyle w:val="null3"/>
              <w:spacing w:before="180"/>
              <w:ind w:left="825"/>
              <w:jc w:val="both"/>
            </w:pPr>
            <w:r>
              <w:rPr>
                <w:rFonts w:ascii="仿宋_GB2312" w:hAnsi="仿宋_GB2312" w:cs="仿宋_GB2312" w:eastAsia="仿宋_GB2312"/>
                <w:sz w:val="21"/>
              </w:rPr>
              <w:t xml:space="preserve"> 2）故障响应</w:t>
            </w:r>
          </w:p>
          <w:p>
            <w:pPr>
              <w:pStyle w:val="null3"/>
              <w:spacing w:before="180"/>
              <w:ind w:firstLine="532"/>
              <w:jc w:val="both"/>
            </w:pPr>
            <w:r>
              <w:rPr>
                <w:rFonts w:ascii="仿宋_GB2312" w:hAnsi="仿宋_GB2312" w:cs="仿宋_GB2312" w:eastAsia="仿宋_GB2312"/>
                <w:sz w:val="21"/>
              </w:rPr>
              <w:t>1小时内响应报修；市级平台2小时、站点8小时内到场处置。</w:t>
            </w:r>
          </w:p>
          <w:p>
            <w:pPr>
              <w:pStyle w:val="null3"/>
              <w:spacing w:before="180"/>
              <w:ind w:firstLine="532"/>
              <w:jc w:val="both"/>
            </w:pPr>
            <w:r>
              <w:rPr>
                <w:rFonts w:ascii="仿宋_GB2312" w:hAnsi="仿宋_GB2312" w:cs="仿宋_GB2312" w:eastAsia="仿宋_GB2312"/>
                <w:sz w:val="21"/>
              </w:rPr>
              <w:t>24小时内排除故障；无法修复的立即启用备用设备，配齐备品备件。</w:t>
            </w:r>
          </w:p>
          <w:p>
            <w:pPr>
              <w:pStyle w:val="null3"/>
              <w:spacing w:before="180"/>
              <w:ind w:firstLine="532"/>
              <w:jc w:val="both"/>
            </w:pPr>
            <w:r>
              <w:rPr>
                <w:rFonts w:ascii="仿宋_GB2312" w:hAnsi="仿宋_GB2312" w:cs="仿宋_GB2312" w:eastAsia="仿宋_GB2312"/>
                <w:sz w:val="21"/>
              </w:rPr>
              <w:t>降雨过程运维：降雨前保障自动监测站点在线，降雨后开展数据核查、故障及异常数据处理。</w:t>
            </w:r>
          </w:p>
          <w:p>
            <w:pPr>
              <w:pStyle w:val="null3"/>
              <w:spacing w:before="180"/>
              <w:ind w:firstLine="532"/>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安全要求：按国家或行业相关标准执行。</w:t>
            </w:r>
          </w:p>
          <w:p>
            <w:pPr>
              <w:pStyle w:val="null3"/>
              <w:spacing w:before="180"/>
              <w:ind w:firstLine="532"/>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付款方式</w:t>
            </w:r>
          </w:p>
          <w:p>
            <w:pPr>
              <w:pStyle w:val="null3"/>
              <w:spacing w:before="180"/>
              <w:ind w:firstLine="532"/>
              <w:jc w:val="both"/>
            </w:pPr>
            <w:r>
              <w:rPr>
                <w:rFonts w:ascii="仿宋_GB2312" w:hAnsi="仿宋_GB2312" w:cs="仿宋_GB2312" w:eastAsia="仿宋_GB2312"/>
                <w:sz w:val="21"/>
              </w:rPr>
              <w:t>合同签订后</w:t>
            </w:r>
            <w:r>
              <w:rPr>
                <w:rFonts w:ascii="仿宋_GB2312" w:hAnsi="仿宋_GB2312" w:cs="仿宋_GB2312" w:eastAsia="仿宋_GB2312"/>
                <w:sz w:val="21"/>
              </w:rPr>
              <w:t>15日内支付合同金额的40%；汛期结束并完成服务验收工作，支付至结算总金额的95%，结算审定金额为最终的合同价款，结算审核完成后，支付剩余价款。（注：与“3.3.5支付约定”不一致的内容请以本条付款方式为准）</w:t>
            </w:r>
          </w:p>
          <w:p>
            <w:pPr>
              <w:pStyle w:val="null3"/>
              <w:spacing w:before="180"/>
              <w:ind w:left="555"/>
              <w:jc w:val="both"/>
            </w:pPr>
            <w:r>
              <w:rPr>
                <w:rFonts w:ascii="仿宋_GB2312" w:hAnsi="仿宋_GB2312" w:cs="仿宋_GB2312" w:eastAsia="仿宋_GB2312"/>
                <w:sz w:val="21"/>
              </w:rPr>
              <w:t>6、</w:t>
            </w:r>
            <w:r>
              <w:rPr>
                <w:rFonts w:ascii="仿宋_GB2312" w:hAnsi="仿宋_GB2312" w:cs="仿宋_GB2312" w:eastAsia="仿宋_GB2312"/>
                <w:sz w:val="21"/>
              </w:rPr>
              <w:t>商务报价要求说明：</w:t>
            </w:r>
          </w:p>
          <w:tbl>
            <w:tblPr>
              <w:tblInd w:type="dxa" w:w="195"/>
              <w:tblBorders>
                <w:top w:val="none" w:color="000000" w:sz="4"/>
                <w:left w:val="none" w:color="000000" w:sz="4"/>
                <w:bottom w:val="none" w:color="000000" w:sz="4"/>
                <w:right w:val="none" w:color="000000" w:sz="4"/>
                <w:insideH w:val="none"/>
                <w:insideV w:val="none"/>
              </w:tblBorders>
            </w:tblPr>
            <w:tblGrid>
              <w:gridCol w:w="298"/>
              <w:gridCol w:w="1022"/>
              <w:gridCol w:w="1223"/>
            </w:tblGrid>
            <w:tr>
              <w:tc>
                <w:tcPr>
                  <w:tcW w:type="dxa" w:w="2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80"/>
                    <w:ind w:firstLine="276"/>
                    <w:jc w:val="both"/>
                  </w:pPr>
                  <w:r>
                    <w:rPr>
                      <w:rFonts w:ascii="仿宋_GB2312" w:hAnsi="仿宋_GB2312" w:cs="仿宋_GB2312" w:eastAsia="仿宋_GB2312"/>
                      <w:sz w:val="21"/>
                    </w:rPr>
                    <w:t>序号</w:t>
                  </w:r>
                </w:p>
              </w:tc>
              <w:tc>
                <w:tcPr>
                  <w:tcW w:type="dxa" w:w="10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80"/>
                    <w:ind w:left="555" w:firstLine="552"/>
                    <w:jc w:val="both"/>
                  </w:pPr>
                  <w:r>
                    <w:rPr>
                      <w:rFonts w:ascii="仿宋_GB2312" w:hAnsi="仿宋_GB2312" w:cs="仿宋_GB2312" w:eastAsia="仿宋_GB2312"/>
                      <w:sz w:val="21"/>
                    </w:rPr>
                    <w:t>分项报价</w:t>
                  </w:r>
                </w:p>
              </w:tc>
              <w:tc>
                <w:tcPr>
                  <w:tcW w:type="dxa" w:w="12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80"/>
                    <w:ind w:left="555"/>
                    <w:jc w:val="both"/>
                  </w:pPr>
                  <w:r>
                    <w:rPr>
                      <w:rFonts w:ascii="仿宋_GB2312" w:hAnsi="仿宋_GB2312" w:cs="仿宋_GB2312" w:eastAsia="仿宋_GB2312"/>
                      <w:sz w:val="21"/>
                    </w:rPr>
                    <w:t>分项工程最高限价（元）</w:t>
                  </w: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80"/>
                    <w:ind w:left="555"/>
                    <w:jc w:val="center"/>
                  </w:pPr>
                  <w:r>
                    <w:rPr>
                      <w:rFonts w:ascii="仿宋_GB2312" w:hAnsi="仿宋_GB2312" w:cs="仿宋_GB2312" w:eastAsia="仿宋_GB2312"/>
                      <w:sz w:val="21"/>
                    </w:rPr>
                    <w:t>1</w:t>
                  </w: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80"/>
                    <w:ind w:left="555" w:firstLine="276"/>
                    <w:jc w:val="center"/>
                  </w:pPr>
                  <w:r>
                    <w:rPr>
                      <w:rFonts w:ascii="仿宋_GB2312" w:hAnsi="仿宋_GB2312" w:cs="仿宋_GB2312" w:eastAsia="仿宋_GB2312"/>
                      <w:sz w:val="21"/>
                    </w:rPr>
                    <w:t>站点运行维护</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80"/>
                    <w:jc w:val="center"/>
                  </w:pPr>
                  <w:r>
                    <w:rPr>
                      <w:rFonts w:ascii="仿宋_GB2312" w:hAnsi="仿宋_GB2312" w:cs="仿宋_GB2312" w:eastAsia="仿宋_GB2312"/>
                      <w:sz w:val="21"/>
                    </w:rPr>
                    <w:t>880000</w:t>
                  </w: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80"/>
                    <w:ind w:left="555"/>
                    <w:jc w:val="center"/>
                  </w:pPr>
                  <w:r>
                    <w:rPr>
                      <w:rFonts w:ascii="仿宋_GB2312" w:hAnsi="仿宋_GB2312" w:cs="仿宋_GB2312" w:eastAsia="仿宋_GB2312"/>
                      <w:sz w:val="21"/>
                    </w:rPr>
                    <w:t>2</w:t>
                  </w: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80"/>
                    <w:ind w:firstLine="276"/>
                    <w:jc w:val="center"/>
                  </w:pPr>
                  <w:r>
                    <w:rPr>
                      <w:rFonts w:ascii="仿宋_GB2312" w:hAnsi="仿宋_GB2312" w:cs="仿宋_GB2312" w:eastAsia="仿宋_GB2312"/>
                      <w:sz w:val="21"/>
                    </w:rPr>
                    <w:t>设备更新</w:t>
                  </w:r>
                  <w:r>
                    <w:rPr>
                      <w:rFonts w:ascii="仿宋_GB2312" w:hAnsi="仿宋_GB2312" w:cs="仿宋_GB2312" w:eastAsia="仿宋_GB2312"/>
                      <w:sz w:val="21"/>
                    </w:rPr>
                    <w:t>（含物联网卡）</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21"/>
                    </w:rPr>
                    <w:t xml:space="preserve">                 435000</w:t>
                  </w:r>
                </w:p>
              </w:tc>
            </w:tr>
          </w:tbl>
          <w:p>
            <w:pPr>
              <w:pStyle w:val="null3"/>
              <w:spacing w:before="180"/>
              <w:ind w:left="555"/>
              <w:jc w:val="both"/>
            </w:pPr>
            <w:r>
              <w:rPr>
                <w:rFonts w:ascii="仿宋_GB2312" w:hAnsi="仿宋_GB2312" w:cs="仿宋_GB2312" w:eastAsia="仿宋_GB2312"/>
                <w:sz w:val="21"/>
              </w:rPr>
              <w:t>以上为各分项报价最高限价，投标人报价均不应超过分项最高限价控制。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1.合同完工后，乙方及时向甲方申请验收，甲方组织乙方相关人员、专家进行验收。验收依据为采购文件、响应文件、采购合同、国家相关行业标准等。验收合格后，由采购人出具验收意见。 2.最终验收结果作为付款依据，最终验收后，乙方向甲方提交服务实施过程中的所有资料，以便甲方日后管理和维护。</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汛期结束并完成服务验收工作</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结算审核完成后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2.乙方履约延误 1）如乙方事先未征得甲方同意并得到甲方的谅解而单方面延迟执行合同，将按违约终止合同。 2）在履行合同过程中，如果乙方遇到可能妨碍按时提供服务的情况，应及时以书面形式将拖延的事实，可能拖延的期限和理由通知甲方。甲方在收到乙方通知后，应尽快对情况进行评价，并确定是否通过修改合同，酌情延长交付时间或对乙方加收误期赔偿金。每延误一周的赔偿费按合同金额的百分之零点五（0.5%）计收，直至提供服务为止。误期赔偿费的最高限额为合同价格的百分之五（5%）。一旦达到误期赔偿费的最高限额，甲方可终止合同。 3.违约终止合同：未按合同要求提供服务或不能满足技术要求，甲方会同监督机构有权终止合同，对乙方违约行为进行追究，同时按政府采购法的有关规定进行相应的处罚。 4.未经甲方同意，乙方不得擅自将本合同服务分包或转包第三方承担。</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1）以转账、支票、汇票等方式递交磋商保证金的，须从供应商户名支付（备注项目编号或项目名称），如从个人户名或非供应商户名支付，将被拒绝，视为自动放弃投标权利；供应商持保证金缴纳凭证到代理机构换取保证金收据；（2）以保函形式缴纳磋商保证金的，必须由具有开具投标保函资格的单位开具；若供应商违约，开具保函单位承担连带责任；（3）磋商保证金的提交金额、时间不满足磋商文件要求的，投标无效；（4）未按指定账户提交的，我公司将退回，供应商须在响应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（1）供应商具有独立承担民事责任能力的法人、事业法人、 其他组织或自然人。企业法人应提供合法有效的标识有统一社会信用代码营业执照；事业单位法人证书；其他组织应提供合法登记证明文件；自然人应提供身份证；（2）提供具备履行合同所必需的设备和专业技术能力的承诺；（3）有依法缴纳税收的记录，提供供应商前一年以来任意一个月的依法缴纳税收凭据或完税证明(依法免税的供应商应提供相关文件证明)；（4）有依法缴纳社会保障资金的记录，提供供应商前一年以来任意一个月的社会保障资金缴存单据或社保机构开具的社会保险参保缴费情况证明(依法不需要缴纳社会保障资金的供应商应提供相关文件证明)；（5）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供应商需在项目电子化交易系统中按要求上传相应证明文件并进行电子签章。提供2024或2025年度经审计的财务报告(至少包括资 产负债表和利润表；成立时间至提交响应文件截止时间不足一年的可提供成立后任意时段的资产负债表)或磋商前六个月内其基本账户银行出具的资信证明或财政部门认可的政府采购专业担保机构出具的担保函。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单位负责人为同一人或者存在直接控股、管理关系的不同供应商提交响应文件的，按递交顺序只接受第一家响应文件，其他供应商按无效标处理。</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供应商须具备有效的主体资格证明</w:t>
            </w:r>
          </w:p>
        </w:tc>
        <w:tc>
          <w:tcPr>
            <w:tcW w:type="dxa" w:w="3322"/>
          </w:tcPr>
          <w:p>
            <w:pPr>
              <w:pStyle w:val="null3"/>
            </w:pPr>
            <w:r>
              <w:rPr>
                <w:rFonts w:ascii="仿宋_GB2312" w:hAnsi="仿宋_GB2312" w:cs="仿宋_GB2312" w:eastAsia="仿宋_GB2312"/>
              </w:rPr>
              <w:t>供应商具有独立承担民事责任能力的法人、事业法人、 其他组织或自然人。企业法人应提供合法有效的标识有统一社会信用代码营业执照；事业单位法人证书；其他组织应提供合法登记证明文件；自然人应提供身份证。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法定代表人（负责人）或授权代表身份证明</w:t>
            </w:r>
          </w:p>
        </w:tc>
        <w:tc>
          <w:tcPr>
            <w:tcW w:type="dxa" w:w="3322"/>
          </w:tcPr>
          <w:p>
            <w:pPr>
              <w:pStyle w:val="null3"/>
            </w:pPr>
            <w:r>
              <w:rPr>
                <w:rFonts w:ascii="仿宋_GB2312" w:hAnsi="仿宋_GB2312" w:cs="仿宋_GB2312" w:eastAsia="仿宋_GB2312"/>
              </w:rPr>
              <w:t>供应商应授权合法的人员参加磋商全过程，其中法定代表人或负责人直接参加磋商的，须出具法定代表人或负责人身份证明书并与营业执照上信息一致。法定代表人或负责人授权代表参加磋商的，须出具法定代表人或负责人授权委托书(附授权代表身份证复印件及响应文件递交截止时间前半年内任意一个月的本单位社保缴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 (www.creditchina. gov.cn)列入“失信被执行人(页面跳转至“中国执行信息公开网”http://zxgk.court.gov.cn/shixin/)、 重大税收违法失信主体”的供应商；不得为中国政府采购网(http://www.ccgp.gov.cn)“政府采购严重违法失信行为记录名单”中的供应商(提供查询结果网页截图并加盖供应商公章，查询日期为公告发布之日起至磋商响应截止日止)。</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响应文件签署、盖章及格式响应</w:t>
            </w:r>
          </w:p>
        </w:tc>
        <w:tc>
          <w:tcPr>
            <w:tcW w:type="dxa" w:w="3322"/>
          </w:tcPr>
          <w:p>
            <w:pPr>
              <w:pStyle w:val="null3"/>
            </w:pPr>
            <w:r>
              <w:rPr>
                <w:rFonts w:ascii="仿宋_GB2312" w:hAnsi="仿宋_GB2312" w:cs="仿宋_GB2312" w:eastAsia="仿宋_GB2312"/>
              </w:rPr>
              <w:t>响应文件签署、盖章及格式满足磋商文件的要求</w:t>
            </w:r>
          </w:p>
        </w:tc>
        <w:tc>
          <w:tcPr>
            <w:tcW w:type="dxa" w:w="1661"/>
          </w:tcPr>
          <w:p>
            <w:pPr>
              <w:pStyle w:val="null3"/>
            </w:pPr>
            <w:r>
              <w:rPr>
                <w:rFonts w:ascii="仿宋_GB2312" w:hAnsi="仿宋_GB2312" w:cs="仿宋_GB2312" w:eastAsia="仿宋_GB2312"/>
              </w:rPr>
              <w:t>技术要求偏离表.docx 磋商保证金.docx 服务内容及服务邀请应答表 中小企业声明函 拟投入本项目团队人员配备情况.docx 商务应答表 报价表 响应文件封面 分项报价表.docx 供应商应提交的相关资格证明材料.docx 残疾人福利性单位声明函 业绩证明材料.docx 标的清单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报价唯一，且没有高于采购预算或磋商文件规定的最高限价。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磋商有效期满足竞争性磋商文件的要求。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磋商保证金.docx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服务期限、服务地点</w:t>
            </w:r>
          </w:p>
        </w:tc>
        <w:tc>
          <w:tcPr>
            <w:tcW w:type="dxa" w:w="3322"/>
          </w:tcPr>
          <w:p>
            <w:pPr>
              <w:pStyle w:val="null3"/>
            </w:pPr>
            <w:r>
              <w:rPr>
                <w:rFonts w:ascii="仿宋_GB2312" w:hAnsi="仿宋_GB2312" w:cs="仿宋_GB2312" w:eastAsia="仿宋_GB2312"/>
              </w:rPr>
              <w:t>满足竞争性磋商文件的要求。</w:t>
            </w:r>
          </w:p>
        </w:tc>
        <w:tc>
          <w:tcPr>
            <w:tcW w:type="dxa" w:w="1661"/>
          </w:tcPr>
          <w:p>
            <w:pPr>
              <w:pStyle w:val="null3"/>
            </w:pPr>
            <w:r>
              <w:rPr>
                <w:rFonts w:ascii="仿宋_GB2312" w:hAnsi="仿宋_GB2312" w:cs="仿宋_GB2312" w:eastAsia="仿宋_GB2312"/>
              </w:rPr>
              <w:t>分项报价表.docx 服务内容及服务邀请应答表 商务应答表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磋商响应内容</w:t>
            </w:r>
          </w:p>
        </w:tc>
        <w:tc>
          <w:tcPr>
            <w:tcW w:type="dxa" w:w="3322"/>
          </w:tcPr>
          <w:p>
            <w:pPr>
              <w:pStyle w:val="null3"/>
            </w:pPr>
            <w:r>
              <w:rPr>
                <w:rFonts w:ascii="仿宋_GB2312" w:hAnsi="仿宋_GB2312" w:cs="仿宋_GB2312" w:eastAsia="仿宋_GB2312"/>
              </w:rPr>
              <w:t>供应商提供的服务无实质性遗漏。</w:t>
            </w:r>
          </w:p>
        </w:tc>
        <w:tc>
          <w:tcPr>
            <w:tcW w:type="dxa" w:w="1661"/>
          </w:tcPr>
          <w:p>
            <w:pPr>
              <w:pStyle w:val="null3"/>
            </w:pPr>
            <w:r>
              <w:rPr>
                <w:rFonts w:ascii="仿宋_GB2312" w:hAnsi="仿宋_GB2312" w:cs="仿宋_GB2312" w:eastAsia="仿宋_GB2312"/>
              </w:rPr>
              <w:t>技术要求偏离表.docx 服务内容及服务邀请应答表 商务应答表 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运行维护方案</w:t>
            </w:r>
          </w:p>
        </w:tc>
        <w:tc>
          <w:tcPr>
            <w:tcW w:type="dxa" w:w="2492"/>
          </w:tcPr>
          <w:p>
            <w:pPr>
              <w:pStyle w:val="null3"/>
            </w:pPr>
            <w:r>
              <w:rPr>
                <w:rFonts w:ascii="仿宋_GB2312" w:hAnsi="仿宋_GB2312" w:cs="仿宋_GB2312" w:eastAsia="仿宋_GB2312"/>
              </w:rPr>
              <w:t>1、评审内容：供应商根据本项目实际需求，提供完善、科学、可行性强的运行维护方案。2、评审标准：内容全面详细、阐述条理清晰、具有科学、针对性、合理可行性强得12分。每有1处内容存在缺陷的扣1分，扣完为止，未提供不得分。（缺陷是指：内容不完整、条理不清晰、缺少关键点、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设备更新方案</w:t>
            </w:r>
          </w:p>
        </w:tc>
        <w:tc>
          <w:tcPr>
            <w:tcW w:type="dxa" w:w="2492"/>
          </w:tcPr>
          <w:p>
            <w:pPr>
              <w:pStyle w:val="null3"/>
            </w:pPr>
            <w:r>
              <w:rPr>
                <w:rFonts w:ascii="仿宋_GB2312" w:hAnsi="仿宋_GB2312" w:cs="仿宋_GB2312" w:eastAsia="仿宋_GB2312"/>
              </w:rPr>
              <w:t>1、评审内容：供应商针对本项目有具体设备更新方案，包括但不限于： ①供货组织安排；②配备人员、运输、配送等方面措施；③安装、检测、调试等方面措施。 2、评审标准：以上内容无缺项，方案科学全面、合理可行性强得12分，每有1处缺项或者内容非针对本项目的扣4分。每有1处缺陷的扣1分，扣完为止，未提供方案不得分。（缺陷是指：内容不完整、条理不清晰、缺少关键点、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紧急情况预案</w:t>
            </w:r>
          </w:p>
        </w:tc>
        <w:tc>
          <w:tcPr>
            <w:tcW w:type="dxa" w:w="2492"/>
          </w:tcPr>
          <w:p>
            <w:pPr>
              <w:pStyle w:val="null3"/>
            </w:pPr>
            <w:r>
              <w:rPr>
                <w:rFonts w:ascii="仿宋_GB2312" w:hAnsi="仿宋_GB2312" w:cs="仿宋_GB2312" w:eastAsia="仿宋_GB2312"/>
              </w:rPr>
              <w:t>1、评审内容：供应商针对本项目可能发生的各种紧急情况制定详细预案，并提供各种紧急情况应对措施，方案全面，措施及时可行。 2、评审标准：方案内容全面详细、阐述条理清晰、措施及时、可行性强得7分，每有1处内容存在缺陷的扣1分，扣完为止，未提供不得分。（缺陷是指：内容不完整、条理不清晰、缺少关键点、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1、评审内容：供应商针对本项目提供的质量保证措施方案，包括但不限于：①质量控制与质量检查；②质量管理制度；③质量管理体系与职责。 2、评审标准：以上内容无缺项，方案全面合理、可实施性强、针对性强得9分。每有1处缺项或者内容非针对本项目的扣3分。每有1处缺陷的扣1分，扣完为止，未提供方案不得分。（缺陷是指：内容不完整、条理不清晰、缺少关键点、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工作重点、难点分析和合理化建议</w:t>
            </w:r>
          </w:p>
        </w:tc>
        <w:tc>
          <w:tcPr>
            <w:tcW w:type="dxa" w:w="2492"/>
          </w:tcPr>
          <w:p>
            <w:pPr>
              <w:pStyle w:val="null3"/>
            </w:pPr>
            <w:r>
              <w:rPr>
                <w:rFonts w:ascii="仿宋_GB2312" w:hAnsi="仿宋_GB2312" w:cs="仿宋_GB2312" w:eastAsia="仿宋_GB2312"/>
              </w:rPr>
              <w:t>1、评审内容：供应商针对本项目提出工作重点、难点并进行详细分析以及提出合理化建议。 2、评审标准：针对重点、难点和合理化建议提出方案内容全面详细、阐述条理清晰，科学合理、可行性强得9分。每有1处内容存在缺陷的扣1分，扣完为止，未提供不得分。（缺陷是指：内容不完整、条理不清晰、缺少关键点、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1、评审内容：供应商针对本项目提供的服务承诺方案，包括但不限于： ①服务质量承诺；②专人值守服务承诺；③保证相关设备检测合格及稳定运行承诺；④故障响应承诺。 2、评审标准：以上内容无缺项，方案内容全面、可实施性、针对性强得8分；每有1处缺项或者内容非针对本项目的扣2分。每有1处缺陷的扣1分，扣完为止，未提供方案不得分。（缺陷是指：内容不完整、条理不清晰、缺少关键点、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供应商拟投标产品参数满足采购要求参数的计6分;每一项正偏离得0.5分，最高得8分。负偏离不得分。(供应商应提供相关证明资料佐证所响应的技术参数。包括但不限于检测报告、产品技术说明书、官网功能截图、彩页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技术要求偏离表.docx</w:t>
            </w:r>
          </w:p>
        </w:tc>
      </w:tr>
      <w:tr>
        <w:tc>
          <w:tcPr>
            <w:tcW w:type="dxa" w:w="831"/>
            <w:vMerge/>
          </w:tcPr>
          <w:p/>
        </w:tc>
        <w:tc>
          <w:tcPr>
            <w:tcW w:type="dxa" w:w="1661"/>
          </w:tcPr>
          <w:p>
            <w:pPr>
              <w:pStyle w:val="null3"/>
            </w:pPr>
            <w:r>
              <w:rPr>
                <w:rFonts w:ascii="仿宋_GB2312" w:hAnsi="仿宋_GB2312" w:cs="仿宋_GB2312" w:eastAsia="仿宋_GB2312"/>
              </w:rPr>
              <w:t>服务团队人员配备情况</w:t>
            </w:r>
          </w:p>
        </w:tc>
        <w:tc>
          <w:tcPr>
            <w:tcW w:type="dxa" w:w="2492"/>
          </w:tcPr>
          <w:p>
            <w:pPr>
              <w:pStyle w:val="null3"/>
            </w:pPr>
            <w:r>
              <w:rPr>
                <w:rFonts w:ascii="仿宋_GB2312" w:hAnsi="仿宋_GB2312" w:cs="仿宋_GB2312" w:eastAsia="仿宋_GB2312"/>
              </w:rPr>
              <w:t>1、项目负责人具备相关专业高级职称得3分、中级职称得2分。其余不得分。2、供应商针对本项目投入的主要服务技术人员具有相关专业中级职称的，每提供一人得1分，高级及以上职称的，每提供一人得1.5分，最高得6分。(注：以上人员需提供在本单位前半年内任意一个月的社保证明材料,同时提供身份证、职称证书复印件加盖单位公章，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拟投入本项目团队人员配备情况.docx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提供近三年（以合同签订日期为准）承接的类似项目业绩，每提供1项符合要求的业绩证明（需附合同复印件或中标（成交）通知书加盖公章的扫描件为准）得2分，本项最高得6分；未提供或提供材料不符合要求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竞争性磋商响应文件，其磋商报价为有效磋商报价。2.满足磋商文件要求且最后报价最低的供应商的价格为磋商基准价，其价格得分为满分。其他供应商的价格得分统一按照下列公式计算：磋商报价得分=（磋商基准价/最后磋商报价）×价格权值（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详见附件：技术要求偏离表.docx</w:t>
      </w:r>
    </w:p>
    <w:p>
      <w:pPr>
        <w:pStyle w:val="null3"/>
        <w:ind w:firstLine="960"/>
      </w:pPr>
      <w:r>
        <w:rPr>
          <w:rFonts w:ascii="仿宋_GB2312" w:hAnsi="仿宋_GB2312" w:cs="仿宋_GB2312" w:eastAsia="仿宋_GB2312"/>
        </w:rPr>
        <w:t>详见附件：拟投入本项目团队人员配备情况.docx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详见附件：磋商保证金.docx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