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302EC">
      <w:pPr>
        <w:jc w:val="center"/>
        <w:rPr>
          <w:rFonts w:hint="eastAsia"/>
          <w:b/>
          <w:bCs/>
          <w:sz w:val="44"/>
          <w:szCs w:val="52"/>
        </w:rPr>
      </w:pPr>
      <w:r>
        <w:rPr>
          <w:rFonts w:hint="eastAsia"/>
          <w:b/>
          <w:bCs/>
          <w:sz w:val="44"/>
          <w:szCs w:val="52"/>
        </w:rPr>
        <w:t>服务内容及服务要求应答表</w:t>
      </w:r>
    </w:p>
    <w:p w14:paraId="3B527DAD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采购项目名称：{请填写采购项目名称}</w:t>
      </w:r>
    </w:p>
    <w:p w14:paraId="166BBE0B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采购项目编号：{请填写采购项目编号}</w:t>
      </w:r>
    </w:p>
    <w:p w14:paraId="136F3B4D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采购包号：{请填写采购包编号}</w:t>
      </w:r>
    </w:p>
    <w:tbl>
      <w:tblPr>
        <w:tblStyle w:val="6"/>
        <w:tblW w:w="89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4536"/>
        <w:gridCol w:w="1969"/>
        <w:gridCol w:w="1637"/>
      </w:tblGrid>
      <w:tr w14:paraId="5F927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6ADA3946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4536" w:type="dxa"/>
          </w:tcPr>
          <w:p w14:paraId="3ECEBFD1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</w:rPr>
              <w:t>磋商文件要求</w:t>
            </w:r>
          </w:p>
        </w:tc>
        <w:tc>
          <w:tcPr>
            <w:tcW w:w="1969" w:type="dxa"/>
          </w:tcPr>
          <w:p w14:paraId="737A02DB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36"/>
                <w:vertAlign w:val="baseline"/>
                <w:lang w:eastAsia="zh-CN"/>
              </w:rPr>
              <w:t>响应文件应答</w:t>
            </w:r>
          </w:p>
        </w:tc>
        <w:tc>
          <w:tcPr>
            <w:tcW w:w="1637" w:type="dxa"/>
          </w:tcPr>
          <w:p w14:paraId="040188BE"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36"/>
                <w:vertAlign w:val="baseline"/>
                <w:lang w:eastAsia="zh-CN"/>
              </w:rPr>
              <w:t>响应情况</w:t>
            </w:r>
          </w:p>
        </w:tc>
      </w:tr>
      <w:tr w14:paraId="71CBC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7446AD8F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68F2B81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一、项目名称：东芝16层CT维保服务；</w:t>
            </w:r>
          </w:p>
          <w:p w14:paraId="4B2410B0">
            <w:pP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二、设备型号：Aquilion TSX-101A</w:t>
            </w:r>
          </w:p>
        </w:tc>
        <w:tc>
          <w:tcPr>
            <w:tcW w:w="1969" w:type="dxa"/>
          </w:tcPr>
          <w:p w14:paraId="3153463E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21427B08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4B60B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2447C135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0AC568E2">
            <w:pP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三、维保服务范围：整机保修服务（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bidi="ar-SA"/>
              </w:rPr>
              <w:t>含球管，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-SA"/>
              </w:rPr>
              <w:t>原厂后处理工作站软、硬件，不含探测器、高压注射器、稳压电源等其他第三方设备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）；</w:t>
            </w:r>
          </w:p>
        </w:tc>
        <w:tc>
          <w:tcPr>
            <w:tcW w:w="1969" w:type="dxa"/>
          </w:tcPr>
          <w:p w14:paraId="6125BC07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472EBE34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6A26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06333291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63A6BB96">
            <w:pP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四、保修期限：1年；</w:t>
            </w:r>
          </w:p>
        </w:tc>
        <w:tc>
          <w:tcPr>
            <w:tcW w:w="1969" w:type="dxa"/>
          </w:tcPr>
          <w:p w14:paraId="1B7A3529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44E9A75D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02E7C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2541D4BA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4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2999ACD0">
            <w:pP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五、服务要求：</w:t>
            </w:r>
          </w:p>
        </w:tc>
        <w:tc>
          <w:tcPr>
            <w:tcW w:w="1969" w:type="dxa"/>
          </w:tcPr>
          <w:p w14:paraId="3B83A0C5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0F2CFB3D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2E5EC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5BEBECB2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5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58C980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1、保证球管供应服务：提供原厂全新球管及标签、说明书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-SA"/>
              </w:rPr>
              <w:t>，球管更换时必须同时更换配套的全新高压电缆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；服务期内至少更换一支原厂全新球管；</w:t>
            </w:r>
          </w:p>
        </w:tc>
        <w:tc>
          <w:tcPr>
            <w:tcW w:w="1969" w:type="dxa"/>
          </w:tcPr>
          <w:p w14:paraId="50877AE9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1DE792A2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69C3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1EAEBECE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6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301A51E0"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服务期内需提供全天24小时技术电话支持（含周末）；</w:t>
            </w:r>
          </w:p>
        </w:tc>
        <w:tc>
          <w:tcPr>
            <w:tcW w:w="1969" w:type="dxa"/>
          </w:tcPr>
          <w:p w14:paraId="19FBBA63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7E0119A2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17942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020C8B8F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7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3AA4E523"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响应时间：接到报修电话1小时内提供电话支持，若远程无法解决，须在24小时内到达现场进行维修，排除故障；</w:t>
            </w:r>
          </w:p>
        </w:tc>
        <w:tc>
          <w:tcPr>
            <w:tcW w:w="1969" w:type="dxa"/>
          </w:tcPr>
          <w:p w14:paraId="4429709D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304706DA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74CCC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04CED3B3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8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1F3699E3"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开机率要求：≥95%，以365天计算，即每年因设备故障原因造成的停机不超过18个日历日，如未达到，需通过1：5延长服务期补足，即以停机天数的5倍天数补足；</w:t>
            </w:r>
          </w:p>
        </w:tc>
        <w:tc>
          <w:tcPr>
            <w:tcW w:w="1969" w:type="dxa"/>
          </w:tcPr>
          <w:p w14:paraId="006E27ED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26BBDBE7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7CF24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695AC9B7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9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3B15BF99">
            <w:pPr>
              <w:pStyle w:val="3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  <w:t>5、专职工程师：≥2名，提供近6个月的社保证明和原厂培训证明文件；</w:t>
            </w:r>
          </w:p>
        </w:tc>
        <w:tc>
          <w:tcPr>
            <w:tcW w:w="1969" w:type="dxa"/>
          </w:tcPr>
          <w:p w14:paraId="357ED357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000FBE10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352EA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61CC6736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10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3E590FE9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  <w:t>6、备件库：设有专业的备件库，并提供证明材料；</w:t>
            </w:r>
          </w:p>
        </w:tc>
        <w:tc>
          <w:tcPr>
            <w:tcW w:w="1969" w:type="dxa"/>
          </w:tcPr>
          <w:p w14:paraId="641C3C69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4E18AAA1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5D705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00869E40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11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62458C2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  <w:t>7、零备件供应：更换的零部件为原厂全新备件，维修后的技术参数需达到原厂技术要求；</w:t>
            </w:r>
          </w:p>
        </w:tc>
        <w:tc>
          <w:tcPr>
            <w:tcW w:w="1969" w:type="dxa"/>
          </w:tcPr>
          <w:p w14:paraId="5E8ACE0C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34F1A71A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73DA4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7E456FD0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12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71CDF92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8、一年内至少提供每季度一次，共至少4次定期维护，每次维护保养完成后，3个工作日内须向采购人提供书面维护保养报告；</w:t>
            </w:r>
          </w:p>
        </w:tc>
        <w:tc>
          <w:tcPr>
            <w:tcW w:w="1969" w:type="dxa"/>
          </w:tcPr>
          <w:p w14:paraId="7A8FB2A8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1B6B43DE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5CE6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7F5F4A91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13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34C0286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9、服务期内，若维修更换配件时引发CT机其他新故障时，由服务商自行解决故障及配件，费用由服务方承担；</w:t>
            </w:r>
          </w:p>
        </w:tc>
        <w:tc>
          <w:tcPr>
            <w:tcW w:w="1969" w:type="dxa"/>
          </w:tcPr>
          <w:p w14:paraId="7CD8687F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50BAFD6E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52BE7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42DDF560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14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4887F725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10、在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-SA"/>
              </w:rPr>
              <w:t>保修期内负责向招标人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  <w:t>提供4人次临床应用交流和工程师维修胜任力培训。</w:t>
            </w:r>
          </w:p>
        </w:tc>
        <w:tc>
          <w:tcPr>
            <w:tcW w:w="1969" w:type="dxa"/>
          </w:tcPr>
          <w:p w14:paraId="70396471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62C67D2A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</w:tbl>
    <w:p w14:paraId="6624C50B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注：1.以上表格格式行、列可增减。</w:t>
      </w:r>
    </w:p>
    <w:p w14:paraId="0C95C143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2.供应商人根据磋商文件第 3 章-“3.2</w:t>
      </w:r>
      <w:r>
        <w:rPr>
          <w:rFonts w:hint="eastAsia"/>
          <w:sz w:val="28"/>
          <w:szCs w:val="36"/>
          <w:lang w:val="en-US" w:eastAsia="zh-CN"/>
        </w:rPr>
        <w:t>.2</w:t>
      </w:r>
      <w:r>
        <w:rPr>
          <w:rFonts w:hint="eastAsia"/>
          <w:sz w:val="28"/>
          <w:szCs w:val="36"/>
        </w:rPr>
        <w:t xml:space="preserve"> 服务要求”将全部服务内容及服务要求逐条填写此表，并按磋商文件要求</w:t>
      </w:r>
      <w:r>
        <w:rPr>
          <w:rFonts w:hint="eastAsia"/>
          <w:sz w:val="28"/>
          <w:szCs w:val="36"/>
          <w:lang w:eastAsia="zh-CN"/>
        </w:rPr>
        <w:t>进行响应</w:t>
      </w:r>
      <w:bookmarkStart w:id="0" w:name="_GoBack"/>
      <w:bookmarkEnd w:id="0"/>
      <w:r>
        <w:rPr>
          <w:rFonts w:hint="eastAsia"/>
          <w:sz w:val="28"/>
          <w:szCs w:val="36"/>
        </w:rPr>
        <w:t>。</w:t>
      </w:r>
    </w:p>
    <w:p w14:paraId="5CED0875">
      <w:pPr>
        <w:jc w:val="left"/>
        <w:rPr>
          <w:rFonts w:hint="eastAsia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3.“响应情况”列填写：响应、负偏离、正偏离。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91B1F0"/>
    <w:multiLevelType w:val="singleLevel"/>
    <w:tmpl w:val="4991B1F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6C797D"/>
    <w:rsid w:val="670A0FF7"/>
    <w:rsid w:val="6E90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rFonts w:ascii="Calibri" w:hAnsi="Calibri" w:eastAsia="宋体" w:cs="Calibri"/>
      <w:kern w:val="0"/>
      <w:sz w:val="20"/>
    </w:rPr>
  </w:style>
  <w:style w:type="paragraph" w:styleId="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4">
    <w:name w:val="annotation text"/>
    <w:basedOn w:val="1"/>
    <w:qFormat/>
    <w:uiPriority w:val="0"/>
    <w:pPr>
      <w:jc w:val="left"/>
    </w:p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743</Words>
  <Characters>780</Characters>
  <Lines>0</Lines>
  <Paragraphs>0</Paragraphs>
  <TotalTime>0</TotalTime>
  <ScaleCrop>false</ScaleCrop>
  <LinksUpToDate>false</LinksUpToDate>
  <CharactersWithSpaces>784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2025-09-08T05:58:00Z</dcterms:created>
  <dc:creator>Administrator</dc:creator>
  <cp:lastModifiedBy>Li_JF</cp:lastModifiedBy>
  <dcterms:modified xsi:type="dcterms:W3CDTF">2026-04-24T07:03:51Z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eyJoZGlkIjoiMGEyMzlhN2VhYTZmZDVjZjJjMTAyOTgwYzBjNTM2YTgiLCJ1c2VySWQiOiIxMDMxMjc4NzA5In0=</vt:lpwstr>
  </property>
  <property fmtid="{D5CDD505-2E9C-101B-9397-08002B2CF9AE}" pid="4" name="ICV">
    <vt:lpwstr>85D74252EF2140C38D1498E46D0EEB1E_12</vt:lpwstr>
  </property>
</Properties>
</file>