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5459FD">
      <w:pPr>
        <w:tabs>
          <w:tab w:val="left" w:pos="735"/>
        </w:tabs>
        <w:autoSpaceDE w:val="0"/>
        <w:autoSpaceDN w:val="0"/>
        <w:adjustRightInd w:val="0"/>
        <w:snapToGrid w:val="0"/>
        <w:spacing w:before="312" w:beforeLines="100" w:line="360" w:lineRule="auto"/>
        <w:rPr>
          <w:rFonts w:hint="eastAsia" w:ascii="仿宋" w:hAnsi="仿宋" w:eastAsia="仿宋" w:cs="仿宋"/>
          <w:b/>
          <w:bCs/>
          <w:sz w:val="24"/>
          <w:lang w:val="zh-CN"/>
        </w:rPr>
      </w:pPr>
      <w:r>
        <w:rPr>
          <w:rFonts w:hint="eastAsia" w:ascii="仿宋" w:hAnsi="仿宋" w:eastAsia="仿宋" w:cs="仿宋"/>
          <w:b/>
          <w:bCs/>
          <w:sz w:val="24"/>
          <w:lang w:val="zh-CN"/>
        </w:rPr>
        <w:t>甲方：</w:t>
      </w:r>
      <w:r>
        <w:rPr>
          <w:rFonts w:hint="eastAsia" w:ascii="仿宋" w:hAnsi="仿宋" w:eastAsia="仿宋" w:cs="仿宋"/>
          <w:bCs/>
          <w:sz w:val="24"/>
          <w:lang w:val="zh-CN"/>
        </w:rPr>
        <w:t>（前款所称采购人）     住所：</w:t>
      </w:r>
    </w:p>
    <w:p w14:paraId="525715F8">
      <w:pPr>
        <w:tabs>
          <w:tab w:val="left" w:pos="735"/>
        </w:tabs>
        <w:autoSpaceDE w:val="0"/>
        <w:autoSpaceDN w:val="0"/>
        <w:adjustRightInd w:val="0"/>
        <w:snapToGrid w:val="0"/>
        <w:spacing w:line="360" w:lineRule="auto"/>
        <w:rPr>
          <w:rFonts w:hint="eastAsia" w:ascii="仿宋" w:hAnsi="仿宋" w:eastAsia="仿宋" w:cs="仿宋"/>
          <w:bCs/>
          <w:sz w:val="24"/>
          <w:lang w:val="zh-CN"/>
        </w:rPr>
      </w:pPr>
      <w:r>
        <w:rPr>
          <w:rFonts w:hint="eastAsia" w:ascii="仿宋" w:hAnsi="仿宋" w:eastAsia="仿宋" w:cs="仿宋"/>
          <w:b/>
          <w:bCs/>
          <w:sz w:val="24"/>
          <w:lang w:val="zh-CN"/>
        </w:rPr>
        <w:t>乙方：</w:t>
      </w:r>
      <w:r>
        <w:rPr>
          <w:rFonts w:hint="eastAsia" w:ascii="仿宋" w:hAnsi="仿宋" w:eastAsia="仿宋" w:cs="仿宋"/>
          <w:bCs/>
          <w:sz w:val="24"/>
          <w:lang w:val="zh-CN"/>
        </w:rPr>
        <w:t>（前款所称中标人）     住所：</w:t>
      </w:r>
    </w:p>
    <w:p w14:paraId="04BA9501">
      <w:pPr>
        <w:pStyle w:val="2"/>
        <w:tabs>
          <w:tab w:val="left" w:pos="567"/>
        </w:tabs>
        <w:rPr>
          <w:rFonts w:hint="eastAsia" w:ascii="仿宋" w:hAnsi="仿宋" w:eastAsia="仿宋" w:cs="仿宋"/>
          <w:lang w:val="zh-CN"/>
        </w:rPr>
      </w:pPr>
    </w:p>
    <w:p w14:paraId="7C04C2B5">
      <w:pPr>
        <w:adjustRightInd w:val="0"/>
        <w:snapToGrid w:val="0"/>
        <w:spacing w:line="360" w:lineRule="auto"/>
        <w:ind w:firstLine="480" w:firstLineChars="200"/>
        <w:rPr>
          <w:rFonts w:hint="eastAsia" w:ascii="仿宋" w:hAnsi="仿宋" w:eastAsia="仿宋" w:cs="仿宋"/>
          <w:sz w:val="24"/>
        </w:rPr>
      </w:pPr>
      <w:bookmarkStart w:id="0" w:name="_Toc19515384"/>
      <w:r>
        <w:rPr>
          <w:rFonts w:hint="eastAsia" w:ascii="仿宋" w:hAnsi="仿宋" w:eastAsia="仿宋" w:cs="仿宋"/>
          <w:sz w:val="24"/>
        </w:rPr>
        <w:t>一、合同内容（标的、数量、质量等）:</w:t>
      </w:r>
      <w:bookmarkEnd w:id="0"/>
    </w:p>
    <w:p w14:paraId="36BEDC52">
      <w:pPr>
        <w:adjustRightInd w:val="0"/>
        <w:snapToGrid w:val="0"/>
        <w:spacing w:line="360" w:lineRule="auto"/>
        <w:ind w:firstLine="480" w:firstLineChars="200"/>
        <w:rPr>
          <w:rFonts w:hint="eastAsia" w:ascii="仿宋" w:hAnsi="仿宋" w:eastAsia="仿宋" w:cs="仿宋"/>
          <w:sz w:val="24"/>
        </w:rPr>
      </w:pPr>
      <w:bookmarkStart w:id="1" w:name="_Toc19515385"/>
      <w:r>
        <w:rPr>
          <w:rFonts w:hint="eastAsia" w:ascii="仿宋" w:hAnsi="仿宋" w:eastAsia="仿宋" w:cs="仿宋"/>
          <w:sz w:val="24"/>
        </w:rPr>
        <w:t>二、合同价款</w:t>
      </w:r>
      <w:bookmarkEnd w:id="1"/>
    </w:p>
    <w:p w14:paraId="5D0AA9DB">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1、合同总价：</w:t>
      </w:r>
    </w:p>
    <w:p w14:paraId="6FB2783F">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2、合同总价包括：</w:t>
      </w:r>
    </w:p>
    <w:p w14:paraId="39587ED4">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3、合同为固定总价合同，不受市场价变化的影响。</w:t>
      </w:r>
    </w:p>
    <w:p w14:paraId="01E4533B">
      <w:pPr>
        <w:adjustRightInd w:val="0"/>
        <w:snapToGrid w:val="0"/>
        <w:spacing w:line="360" w:lineRule="auto"/>
        <w:ind w:firstLine="480" w:firstLineChars="200"/>
        <w:rPr>
          <w:rFonts w:hint="eastAsia" w:ascii="仿宋" w:hAnsi="仿宋" w:eastAsia="仿宋" w:cs="仿宋"/>
          <w:sz w:val="24"/>
        </w:rPr>
      </w:pPr>
      <w:bookmarkStart w:id="2" w:name="_Toc19515386"/>
      <w:r>
        <w:rPr>
          <w:rFonts w:hint="eastAsia" w:ascii="仿宋" w:hAnsi="仿宋" w:eastAsia="仿宋" w:cs="仿宋"/>
          <w:sz w:val="24"/>
        </w:rPr>
        <w:t>三、合同结算</w:t>
      </w:r>
      <w:bookmarkEnd w:id="2"/>
    </w:p>
    <w:p w14:paraId="5D055A0F">
      <w:pPr>
        <w:adjustRightInd w:val="0"/>
        <w:snapToGrid w:val="0"/>
        <w:spacing w:line="360" w:lineRule="auto"/>
        <w:ind w:firstLine="480" w:firstLineChars="200"/>
        <w:rPr>
          <w:rFonts w:hint="eastAsia" w:ascii="仿宋" w:hAnsi="仿宋" w:eastAsia="仿宋" w:cs="仿宋"/>
          <w:sz w:val="24"/>
          <w:highlight w:val="none"/>
          <w:lang w:eastAsia="zh-CN"/>
        </w:rPr>
      </w:pPr>
      <w:r>
        <w:rPr>
          <w:rFonts w:hint="eastAsia" w:ascii="仿宋" w:hAnsi="仿宋" w:eastAsia="仿宋" w:cs="仿宋"/>
          <w:sz w:val="24"/>
          <w:highlight w:val="none"/>
        </w:rPr>
        <w:t>1、付款比例：合同签订生效后，乙方进行维保工作。服务期满3个月后支付合同总金额的30%，服务期满一年后支付合同总金额的20%，服务期满两年后支付合同总金额的30%，三年服务期结束后支付合同剩余金额。</w:t>
      </w:r>
    </w:p>
    <w:p w14:paraId="1A679F54">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2、结算方式：银行转账。</w:t>
      </w:r>
    </w:p>
    <w:p w14:paraId="5BB71FA7">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3、结算单位：由</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负责结算，乙方开具合同总价数的全额发票交采购人。</w:t>
      </w:r>
    </w:p>
    <w:p w14:paraId="52A38BE7">
      <w:pPr>
        <w:adjustRightInd w:val="0"/>
        <w:snapToGrid w:val="0"/>
        <w:spacing w:line="360" w:lineRule="auto"/>
        <w:ind w:firstLine="480" w:firstLineChars="200"/>
        <w:rPr>
          <w:rFonts w:hint="eastAsia" w:ascii="仿宋" w:hAnsi="仿宋" w:eastAsia="仿宋" w:cs="仿宋"/>
          <w:sz w:val="24"/>
          <w:highlight w:val="none"/>
        </w:rPr>
      </w:pPr>
      <w:bookmarkStart w:id="3" w:name="_Toc19515387"/>
      <w:r>
        <w:rPr>
          <w:rFonts w:hint="eastAsia" w:ascii="仿宋" w:hAnsi="仿宋" w:eastAsia="仿宋" w:cs="仿宋"/>
          <w:sz w:val="24"/>
          <w:highlight w:val="none"/>
        </w:rPr>
        <w:t>四、</w:t>
      </w:r>
      <w:r>
        <w:rPr>
          <w:rFonts w:hint="eastAsia" w:ascii="仿宋" w:hAnsi="仿宋" w:eastAsia="仿宋" w:cs="仿宋"/>
          <w:sz w:val="24"/>
          <w:highlight w:val="none"/>
          <w:lang w:val="en-US" w:eastAsia="zh-CN"/>
        </w:rPr>
        <w:t>服务期限</w:t>
      </w:r>
      <w:r>
        <w:rPr>
          <w:rFonts w:hint="eastAsia" w:ascii="仿宋" w:hAnsi="仿宋" w:eastAsia="仿宋" w:cs="仿宋"/>
          <w:sz w:val="24"/>
          <w:highlight w:val="none"/>
        </w:rPr>
        <w:t>、地点:</w:t>
      </w:r>
      <w:bookmarkEnd w:id="3"/>
    </w:p>
    <w:p w14:paraId="302C21C0">
      <w:pPr>
        <w:adjustRightInd w:val="0"/>
        <w:snapToGrid w:val="0"/>
        <w:spacing w:line="360" w:lineRule="auto"/>
        <w:ind w:firstLine="480" w:firstLineChars="200"/>
        <w:rPr>
          <w:rFonts w:hint="eastAsia" w:ascii="仿宋" w:hAnsi="仿宋" w:eastAsia="仿宋" w:cs="仿宋"/>
          <w:sz w:val="24"/>
          <w:highlight w:val="none"/>
          <w:lang w:eastAsia="zh-CN"/>
        </w:rPr>
      </w:pPr>
      <w:r>
        <w:rPr>
          <w:rFonts w:hint="eastAsia" w:ascii="仿宋" w:hAnsi="仿宋" w:eastAsia="仿宋" w:cs="仿宋"/>
          <w:sz w:val="24"/>
          <w:highlight w:val="none"/>
        </w:rPr>
        <w:t>1、</w:t>
      </w:r>
      <w:r>
        <w:rPr>
          <w:rFonts w:hint="eastAsia" w:ascii="仿宋" w:hAnsi="仿宋" w:eastAsia="仿宋" w:cs="仿宋"/>
          <w:sz w:val="24"/>
          <w:highlight w:val="none"/>
          <w:lang w:val="en-US" w:eastAsia="zh-CN"/>
        </w:rPr>
        <w:t>服务</w:t>
      </w:r>
      <w:r>
        <w:rPr>
          <w:rFonts w:hint="eastAsia" w:ascii="仿宋" w:hAnsi="仿宋" w:eastAsia="仿宋" w:cs="仿宋"/>
          <w:sz w:val="24"/>
          <w:highlight w:val="none"/>
        </w:rPr>
        <w:t>期限：自合同签订之日起3年</w:t>
      </w:r>
      <w:r>
        <w:rPr>
          <w:rFonts w:hint="eastAsia" w:ascii="仿宋" w:hAnsi="仿宋" w:eastAsia="仿宋" w:cs="仿宋"/>
          <w:sz w:val="24"/>
          <w:highlight w:val="none"/>
          <w:lang w:eastAsia="zh-CN"/>
        </w:rPr>
        <w:t>。</w:t>
      </w:r>
    </w:p>
    <w:p w14:paraId="3EE0335F">
      <w:pPr>
        <w:adjustRightInd w:val="0"/>
        <w:snapToGrid w:val="0"/>
        <w:spacing w:line="360" w:lineRule="auto"/>
        <w:ind w:firstLine="480" w:firstLineChars="200"/>
        <w:rPr>
          <w:rFonts w:hint="eastAsia" w:ascii="仿宋" w:hAnsi="仿宋" w:eastAsia="仿宋" w:cs="仿宋"/>
          <w:sz w:val="24"/>
          <w:highlight w:val="none"/>
          <w:lang w:eastAsia="zh-CN"/>
        </w:rPr>
      </w:pPr>
      <w:r>
        <w:rPr>
          <w:rFonts w:hint="eastAsia" w:ascii="仿宋" w:hAnsi="仿宋" w:eastAsia="仿宋" w:cs="仿宋"/>
          <w:sz w:val="24"/>
          <w:highlight w:val="none"/>
        </w:rPr>
        <w:t>2、</w:t>
      </w:r>
      <w:r>
        <w:rPr>
          <w:rFonts w:hint="eastAsia" w:ascii="仿宋" w:hAnsi="仿宋" w:eastAsia="仿宋" w:cs="仿宋"/>
          <w:sz w:val="24"/>
          <w:highlight w:val="none"/>
          <w:lang w:val="en-US" w:eastAsia="zh-CN"/>
        </w:rPr>
        <w:t>服务</w:t>
      </w:r>
      <w:r>
        <w:rPr>
          <w:rFonts w:hint="eastAsia" w:ascii="仿宋" w:hAnsi="仿宋" w:eastAsia="仿宋" w:cs="仿宋"/>
          <w:sz w:val="24"/>
          <w:highlight w:val="none"/>
        </w:rPr>
        <w:t>地点：渭南市中心医院指定地点</w:t>
      </w:r>
      <w:r>
        <w:rPr>
          <w:rFonts w:hint="eastAsia" w:ascii="仿宋" w:hAnsi="仿宋" w:eastAsia="仿宋" w:cs="仿宋"/>
          <w:sz w:val="24"/>
          <w:highlight w:val="none"/>
          <w:lang w:eastAsia="zh-CN"/>
        </w:rPr>
        <w:t>。</w:t>
      </w:r>
    </w:p>
    <w:p w14:paraId="16AFD5D6">
      <w:pPr>
        <w:adjustRightInd w:val="0"/>
        <w:snapToGrid w:val="0"/>
        <w:spacing w:line="360" w:lineRule="auto"/>
        <w:ind w:firstLine="480" w:firstLineChars="200"/>
        <w:rPr>
          <w:rFonts w:hint="eastAsia" w:ascii="仿宋" w:hAnsi="仿宋" w:eastAsia="仿宋" w:cs="仿宋"/>
          <w:sz w:val="24"/>
        </w:rPr>
      </w:pPr>
      <w:bookmarkStart w:id="4" w:name="_Toc19515390"/>
      <w:r>
        <w:rPr>
          <w:rFonts w:hint="eastAsia" w:ascii="仿宋" w:hAnsi="仿宋" w:eastAsia="仿宋" w:cs="仿宋"/>
          <w:sz w:val="24"/>
        </w:rPr>
        <w:t>五、技术服务</w:t>
      </w:r>
      <w:bookmarkEnd w:id="4"/>
    </w:p>
    <w:p w14:paraId="36916144">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1、对技术服务的要求：</w:t>
      </w:r>
    </w:p>
    <w:p w14:paraId="6CED131D">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2、技术资料：</w:t>
      </w:r>
    </w:p>
    <w:p w14:paraId="21A02A5C">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3、技术培训：</w:t>
      </w:r>
    </w:p>
    <w:p w14:paraId="7EBA0819">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3-1、培训内容：</w:t>
      </w:r>
    </w:p>
    <w:p w14:paraId="45EB5F31">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3-2、培训地点：</w:t>
      </w:r>
    </w:p>
    <w:p w14:paraId="2960A6E7">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3-3、培训时间：</w:t>
      </w:r>
    </w:p>
    <w:p w14:paraId="36A4CB74">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3-4、培训人数：</w:t>
      </w:r>
    </w:p>
    <w:p w14:paraId="4D73CCDF">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3-5、培训费用：受训人员的食宿费、资料费、培训场地费、耗材（包括水电费等）费等已包含在合同总价中，甲方不再另行支付。</w:t>
      </w:r>
    </w:p>
    <w:p w14:paraId="6A5BA28F">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4、售后服务</w:t>
      </w:r>
    </w:p>
    <w:p w14:paraId="1E6E7AF3">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4-1、乙方在接到甲方电话通知后在</w:t>
      </w:r>
      <w:r>
        <w:rPr>
          <w:rFonts w:hint="eastAsia" w:ascii="仿宋" w:hAnsi="仿宋" w:eastAsia="仿宋" w:cs="仿宋"/>
          <w:sz w:val="24"/>
          <w:u w:val="single"/>
        </w:rPr>
        <w:t xml:space="preserve">   </w:t>
      </w:r>
      <w:r>
        <w:rPr>
          <w:rFonts w:hint="eastAsia" w:ascii="仿宋" w:hAnsi="仿宋" w:eastAsia="仿宋" w:cs="仿宋"/>
          <w:sz w:val="24"/>
        </w:rPr>
        <w:t>小时内派出合格的服务人员到达现场进行服务，承担相应费用。</w:t>
      </w:r>
    </w:p>
    <w:p w14:paraId="4B0B04CF">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4-2、如果乙方在收到通知后两天内没有弥补缺陷，甲方可采取必要的补救措施，但其风险和费用将由乙方承担，甲方根据合同规定对乙方行使的其它权力不受影响。</w:t>
      </w:r>
    </w:p>
    <w:p w14:paraId="5ECDD563">
      <w:pPr>
        <w:adjustRightInd w:val="0"/>
        <w:snapToGrid w:val="0"/>
        <w:spacing w:line="360" w:lineRule="auto"/>
        <w:ind w:firstLine="480" w:firstLineChars="200"/>
        <w:rPr>
          <w:rFonts w:hint="eastAsia" w:ascii="仿宋" w:hAnsi="仿宋" w:eastAsia="仿宋" w:cs="仿宋"/>
          <w:sz w:val="24"/>
        </w:rPr>
      </w:pPr>
      <w:bookmarkStart w:id="5" w:name="_Toc19515391"/>
      <w:r>
        <w:rPr>
          <w:rFonts w:hint="eastAsia" w:ascii="仿宋" w:hAnsi="仿宋" w:eastAsia="仿宋" w:cs="仿宋"/>
          <w:sz w:val="24"/>
        </w:rPr>
        <w:t>六、验收</w:t>
      </w:r>
      <w:bookmarkEnd w:id="5"/>
    </w:p>
    <w:p w14:paraId="2E001143">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1、验收：乙方完成服务内容后，向甲方提出验收申请，甲方接到乙方验收申请后组织验收（必要时可聘请相应专家或委托相应部门验收），验收合格后，出具使用验收合格证明。</w:t>
      </w:r>
    </w:p>
    <w:p w14:paraId="6D3EDE40">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2、最终验收：最终验收结果作为付款依据，乙方填写验收单，并向甲方提交实施过程中的所有资料，以便甲方日后管理和维护。</w:t>
      </w:r>
    </w:p>
    <w:p w14:paraId="380B9718">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3、质保期满后：由乙方出具质保期运行质量报告，若存在质量问题，应按相应规定协商处理。</w:t>
      </w:r>
    </w:p>
    <w:p w14:paraId="0E1FBCD6">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4、验收依据：</w:t>
      </w:r>
    </w:p>
    <w:p w14:paraId="380AF741">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4-1、合同文本、合同附件、招标文件、投标文件。</w:t>
      </w:r>
    </w:p>
    <w:p w14:paraId="239047E5">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4-2、国内相应的标准、规范。</w:t>
      </w:r>
    </w:p>
    <w:p w14:paraId="034CB3A8">
      <w:pPr>
        <w:adjustRightInd w:val="0"/>
        <w:snapToGrid w:val="0"/>
        <w:spacing w:line="360" w:lineRule="auto"/>
        <w:ind w:firstLine="480" w:firstLineChars="200"/>
        <w:rPr>
          <w:rFonts w:hint="eastAsia" w:ascii="仿宋" w:hAnsi="仿宋" w:eastAsia="仿宋" w:cs="仿宋"/>
          <w:sz w:val="24"/>
        </w:rPr>
      </w:pPr>
      <w:bookmarkStart w:id="6" w:name="_Toc19515392"/>
      <w:r>
        <w:rPr>
          <w:rFonts w:hint="eastAsia" w:ascii="仿宋" w:hAnsi="仿宋" w:eastAsia="仿宋" w:cs="仿宋"/>
          <w:sz w:val="24"/>
          <w:lang w:val="en-US" w:eastAsia="zh-CN"/>
        </w:rPr>
        <w:t>七</w:t>
      </w:r>
      <w:r>
        <w:rPr>
          <w:rFonts w:hint="eastAsia" w:ascii="仿宋" w:hAnsi="仿宋" w:eastAsia="仿宋" w:cs="仿宋"/>
          <w:sz w:val="24"/>
        </w:rPr>
        <w:t>、违约责任</w:t>
      </w:r>
      <w:bookmarkEnd w:id="6"/>
    </w:p>
    <w:p w14:paraId="670FE86A">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1、按《中华人民共和国民法典》中的相关条款执行。</w:t>
      </w:r>
    </w:p>
    <w:p w14:paraId="2DDBFA9D">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2、乙方履约延误</w:t>
      </w:r>
    </w:p>
    <w:p w14:paraId="1CE57186">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2-1、如乙方事先未征得甲方同意并得到甲方的谅解而单方面延迟执行合同，将按违约终止合同。</w:t>
      </w:r>
    </w:p>
    <w:p w14:paraId="3271C88F">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p>
    <w:p w14:paraId="45274F05">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3、违约终止合同：未按合同要求提供服务或不能满足技术要求，甲方会同监督机构有权终止合同，对乙方违约行为进行追究，同时按政府采购法的有关规定进行相应的处罚。</w:t>
      </w:r>
    </w:p>
    <w:p w14:paraId="0A0443FD">
      <w:pPr>
        <w:adjustRightInd w:val="0"/>
        <w:snapToGrid w:val="0"/>
        <w:spacing w:line="360" w:lineRule="auto"/>
        <w:ind w:firstLine="480" w:firstLineChars="200"/>
        <w:rPr>
          <w:rFonts w:hint="eastAsia" w:ascii="仿宋" w:hAnsi="仿宋" w:eastAsia="仿宋" w:cs="仿宋"/>
          <w:sz w:val="24"/>
        </w:rPr>
      </w:pPr>
      <w:bookmarkStart w:id="7" w:name="_Toc19515393"/>
      <w:r>
        <w:rPr>
          <w:rFonts w:hint="eastAsia" w:ascii="仿宋" w:hAnsi="仿宋" w:eastAsia="仿宋" w:cs="仿宋"/>
          <w:sz w:val="24"/>
          <w:lang w:val="en-US" w:eastAsia="zh-CN"/>
        </w:rPr>
        <w:t>九</w:t>
      </w:r>
      <w:r>
        <w:rPr>
          <w:rFonts w:hint="eastAsia" w:ascii="仿宋" w:hAnsi="仿宋" w:eastAsia="仿宋" w:cs="仿宋"/>
          <w:sz w:val="24"/>
        </w:rPr>
        <w:t>、合同组成</w:t>
      </w:r>
      <w:bookmarkEnd w:id="7"/>
    </w:p>
    <w:p w14:paraId="2AE872D2">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1、中标通知书</w:t>
      </w:r>
    </w:p>
    <w:p w14:paraId="1471E6C8">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2、合同文件</w:t>
      </w:r>
    </w:p>
    <w:p w14:paraId="7E5FDE86">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3、国家相关规范及标准</w:t>
      </w:r>
    </w:p>
    <w:p w14:paraId="45F9FD32">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4、招标文件</w:t>
      </w:r>
    </w:p>
    <w:p w14:paraId="6AD7591B">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5、投标文件</w:t>
      </w:r>
    </w:p>
    <w:p w14:paraId="01DF6319">
      <w:pPr>
        <w:adjustRightInd w:val="0"/>
        <w:snapToGrid w:val="0"/>
        <w:spacing w:line="360" w:lineRule="auto"/>
        <w:ind w:firstLine="480" w:firstLineChars="200"/>
        <w:rPr>
          <w:rFonts w:hint="eastAsia" w:ascii="仿宋" w:hAnsi="仿宋" w:eastAsia="仿宋" w:cs="仿宋"/>
          <w:sz w:val="24"/>
        </w:rPr>
      </w:pPr>
      <w:bookmarkStart w:id="8" w:name="_Toc19515394"/>
      <w:r>
        <w:rPr>
          <w:rFonts w:hint="eastAsia" w:ascii="仿宋" w:hAnsi="仿宋" w:eastAsia="仿宋" w:cs="仿宋"/>
          <w:sz w:val="24"/>
          <w:lang w:val="en-US" w:eastAsia="zh-CN"/>
        </w:rPr>
        <w:t>十</w:t>
      </w:r>
      <w:r>
        <w:rPr>
          <w:rFonts w:hint="eastAsia" w:ascii="仿宋" w:hAnsi="仿宋" w:eastAsia="仿宋" w:cs="仿宋"/>
          <w:sz w:val="24"/>
        </w:rPr>
        <w:t>、解决争议的方法</w:t>
      </w:r>
      <w:bookmarkEnd w:id="8"/>
    </w:p>
    <w:p w14:paraId="3309FEFF">
      <w:pPr>
        <w:widowControl/>
        <w:autoSpaceDE w:val="0"/>
        <w:autoSpaceDN w:val="0"/>
        <w:snapToGrid w:val="0"/>
        <w:spacing w:line="360" w:lineRule="auto"/>
        <w:ind w:right="-110"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凡因本合同引起的或与本合同有关的争议，双方应友好协商解决。协商不成时，双方均同意采用以下第（  ）种争议解决方式：</w:t>
      </w:r>
    </w:p>
    <w:p w14:paraId="4BF2643F">
      <w:pPr>
        <w:widowControl/>
        <w:autoSpaceDE w:val="0"/>
        <w:autoSpaceDN w:val="0"/>
        <w:snapToGrid w:val="0"/>
        <w:spacing w:line="360" w:lineRule="auto"/>
        <w:ind w:right="-110"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1、甲、乙双方均同意向（甲方所在地人民法院）提起诉讼。</w:t>
      </w:r>
    </w:p>
    <w:p w14:paraId="1152D195">
      <w:pPr>
        <w:widowControl/>
        <w:autoSpaceDE w:val="0"/>
        <w:autoSpaceDN w:val="0"/>
        <w:snapToGrid w:val="0"/>
        <w:spacing w:line="360" w:lineRule="auto"/>
        <w:ind w:right="-110"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2、甲、乙双方均同意向（</w:t>
      </w:r>
      <w:r>
        <w:rPr>
          <w:rFonts w:hint="eastAsia" w:ascii="仿宋" w:hAnsi="仿宋" w:eastAsia="仿宋" w:cs="仿宋"/>
          <w:kern w:val="0"/>
          <w:sz w:val="24"/>
        </w:rPr>
        <w:fldChar w:fldCharType="begin"/>
      </w:r>
      <w:r>
        <w:rPr>
          <w:rFonts w:hint="eastAsia" w:ascii="仿宋" w:hAnsi="仿宋" w:eastAsia="仿宋" w:cs="仿宋"/>
          <w:kern w:val="0"/>
          <w:sz w:val="24"/>
        </w:rPr>
        <w:instrText xml:space="preserve"> HYPERLINK "http://www.baidu.com/s?wd=%E4%BB%B2%E8%A3%81%E5%A7%94%E5%91%98%E4%BC%9A&amp;tn=SE_PcZhidaonwhc_ngpagmjz&amp;rsv_dl=gh_pc_zhidao" \t "_blank" </w:instrText>
      </w:r>
      <w:r>
        <w:rPr>
          <w:rFonts w:hint="eastAsia" w:ascii="仿宋" w:hAnsi="仿宋" w:eastAsia="仿宋" w:cs="仿宋"/>
          <w:kern w:val="0"/>
          <w:sz w:val="24"/>
        </w:rPr>
        <w:fldChar w:fldCharType="separate"/>
      </w:r>
      <w:r>
        <w:rPr>
          <w:rFonts w:hint="eastAsia" w:ascii="仿宋" w:hAnsi="仿宋" w:eastAsia="仿宋" w:cs="仿宋"/>
          <w:kern w:val="0"/>
          <w:sz w:val="24"/>
        </w:rPr>
        <w:t>仲裁委员会</w:t>
      </w:r>
      <w:r>
        <w:rPr>
          <w:rFonts w:hint="eastAsia" w:ascii="仿宋" w:hAnsi="仿宋" w:eastAsia="仿宋" w:cs="仿宋"/>
          <w:kern w:val="0"/>
          <w:sz w:val="24"/>
        </w:rPr>
        <w:fldChar w:fldCharType="end"/>
      </w:r>
      <w:r>
        <w:rPr>
          <w:rFonts w:hint="eastAsia" w:ascii="仿宋" w:hAnsi="仿宋" w:eastAsia="仿宋" w:cs="仿宋"/>
          <w:kern w:val="0"/>
          <w:sz w:val="24"/>
        </w:rPr>
        <w:t>）提起仲裁。</w:t>
      </w:r>
    </w:p>
    <w:p w14:paraId="2CAE46D5">
      <w:pPr>
        <w:adjustRightInd w:val="0"/>
        <w:snapToGrid w:val="0"/>
        <w:spacing w:line="360" w:lineRule="auto"/>
        <w:ind w:firstLine="480" w:firstLineChars="200"/>
        <w:rPr>
          <w:rFonts w:hint="eastAsia" w:ascii="仿宋" w:hAnsi="仿宋" w:eastAsia="仿宋" w:cs="仿宋"/>
          <w:sz w:val="24"/>
        </w:rPr>
      </w:pPr>
      <w:bookmarkStart w:id="9" w:name="_Toc19515395"/>
      <w:r>
        <w:rPr>
          <w:rFonts w:hint="eastAsia" w:ascii="仿宋" w:hAnsi="仿宋" w:eastAsia="仿宋" w:cs="仿宋"/>
          <w:sz w:val="24"/>
        </w:rPr>
        <w:t>十</w:t>
      </w:r>
      <w:r>
        <w:rPr>
          <w:rFonts w:hint="eastAsia" w:ascii="仿宋" w:hAnsi="仿宋" w:eastAsia="仿宋" w:cs="仿宋"/>
          <w:sz w:val="24"/>
          <w:lang w:val="en-US" w:eastAsia="zh-CN"/>
        </w:rPr>
        <w:t>一</w:t>
      </w:r>
      <w:r>
        <w:rPr>
          <w:rFonts w:hint="eastAsia" w:ascii="仿宋" w:hAnsi="仿宋" w:eastAsia="仿宋" w:cs="仿宋"/>
          <w:sz w:val="24"/>
        </w:rPr>
        <w:t>、合同生效及其它</w:t>
      </w:r>
      <w:bookmarkEnd w:id="9"/>
    </w:p>
    <w:p w14:paraId="2D4F9B00">
      <w:pPr>
        <w:widowControl/>
        <w:autoSpaceDE w:val="0"/>
        <w:autoSpaceDN w:val="0"/>
        <w:snapToGrid w:val="0"/>
        <w:spacing w:line="360" w:lineRule="auto"/>
        <w:ind w:right="-110"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1、合同未尽事宜、由甲、乙双方协商，作为合同补充，与原合同具有同等法律效力。</w:t>
      </w:r>
    </w:p>
    <w:p w14:paraId="5B5C587C">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2、 本合同正本一式</w:t>
      </w:r>
      <w:r>
        <w:rPr>
          <w:rFonts w:hint="eastAsia" w:ascii="仿宋" w:hAnsi="仿宋" w:eastAsia="仿宋" w:cs="仿宋"/>
          <w:kern w:val="0"/>
          <w:sz w:val="24"/>
          <w:u w:val="single"/>
        </w:rPr>
        <w:t xml:space="preserve">  </w:t>
      </w:r>
      <w:r>
        <w:rPr>
          <w:rFonts w:hint="eastAsia" w:ascii="仿宋" w:hAnsi="仿宋" w:eastAsia="仿宋" w:cs="仿宋"/>
          <w:kern w:val="0"/>
          <w:sz w:val="24"/>
        </w:rPr>
        <w:t>份，甲方、乙方双方分别执</w:t>
      </w:r>
      <w:r>
        <w:rPr>
          <w:rFonts w:hint="eastAsia" w:ascii="仿宋" w:hAnsi="仿宋" w:eastAsia="仿宋" w:cs="仿宋"/>
          <w:kern w:val="0"/>
          <w:sz w:val="24"/>
          <w:u w:val="single"/>
        </w:rPr>
        <w:t xml:space="preserve">  </w:t>
      </w:r>
      <w:r>
        <w:rPr>
          <w:rFonts w:hint="eastAsia" w:ascii="仿宋" w:hAnsi="仿宋" w:eastAsia="仿宋" w:cs="仿宋"/>
          <w:kern w:val="0"/>
          <w:sz w:val="24"/>
        </w:rPr>
        <w:t>份，</w:t>
      </w:r>
      <w:r>
        <w:rPr>
          <w:rFonts w:hint="eastAsia" w:ascii="仿宋" w:hAnsi="仿宋" w:eastAsia="仿宋" w:cs="仿宋"/>
          <w:kern w:val="0"/>
          <w:sz w:val="24"/>
          <w:u w:val="single"/>
        </w:rPr>
        <w:t xml:space="preserve">       </w:t>
      </w:r>
      <w:r>
        <w:rPr>
          <w:rFonts w:hint="eastAsia" w:ascii="仿宋" w:hAnsi="仿宋" w:eastAsia="仿宋" w:cs="仿宋"/>
          <w:kern w:val="0"/>
          <w:sz w:val="24"/>
        </w:rPr>
        <w:t>备案</w:t>
      </w:r>
      <w:r>
        <w:rPr>
          <w:rFonts w:hint="eastAsia" w:ascii="仿宋" w:hAnsi="仿宋" w:eastAsia="仿宋" w:cs="仿宋"/>
          <w:kern w:val="0"/>
          <w:sz w:val="24"/>
          <w:u w:val="single"/>
        </w:rPr>
        <w:t xml:space="preserve">  </w:t>
      </w:r>
      <w:r>
        <w:rPr>
          <w:rFonts w:hint="eastAsia" w:ascii="仿宋" w:hAnsi="仿宋" w:eastAsia="仿宋" w:cs="仿宋"/>
          <w:kern w:val="0"/>
          <w:sz w:val="24"/>
        </w:rPr>
        <w:t>份。</w:t>
      </w:r>
    </w:p>
    <w:p w14:paraId="5862510A">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3、合同经甲乙双方盖章、签字后生效，合同签订地点为</w:t>
      </w:r>
      <w:r>
        <w:rPr>
          <w:rFonts w:hint="eastAsia" w:ascii="仿宋" w:hAnsi="仿宋" w:eastAsia="仿宋" w:cs="仿宋"/>
          <w:kern w:val="0"/>
          <w:sz w:val="24"/>
          <w:u w:val="single"/>
        </w:rPr>
        <w:t xml:space="preserve">   </w:t>
      </w:r>
      <w:r>
        <w:rPr>
          <w:rFonts w:hint="eastAsia" w:ascii="仿宋" w:hAnsi="仿宋" w:eastAsia="仿宋" w:cs="仿宋"/>
          <w:kern w:val="0"/>
          <w:sz w:val="24"/>
        </w:rPr>
        <w:t>。</w:t>
      </w:r>
    </w:p>
    <w:p w14:paraId="3323956D">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4、生效时间：</w:t>
      </w:r>
      <w:r>
        <w:rPr>
          <w:rFonts w:hint="eastAsia" w:ascii="仿宋" w:hAnsi="仿宋" w:eastAsia="仿宋" w:cs="仿宋"/>
          <w:kern w:val="0"/>
          <w:sz w:val="24"/>
          <w:u w:val="single"/>
        </w:rPr>
        <w:t xml:space="preserve">   </w:t>
      </w:r>
      <w:r>
        <w:rPr>
          <w:rFonts w:hint="eastAsia" w:ascii="仿宋" w:hAnsi="仿宋" w:eastAsia="仿宋" w:cs="仿宋"/>
          <w:kern w:val="0"/>
          <w:sz w:val="24"/>
        </w:rPr>
        <w:t>年</w:t>
      </w:r>
      <w:r>
        <w:rPr>
          <w:rFonts w:hint="eastAsia" w:ascii="仿宋" w:hAnsi="仿宋" w:eastAsia="仿宋" w:cs="仿宋"/>
          <w:kern w:val="0"/>
          <w:sz w:val="24"/>
          <w:u w:val="single"/>
        </w:rPr>
        <w:t xml:space="preserve">  </w:t>
      </w:r>
      <w:r>
        <w:rPr>
          <w:rFonts w:hint="eastAsia" w:ascii="仿宋" w:hAnsi="仿宋" w:eastAsia="仿宋" w:cs="仿宋"/>
          <w:kern w:val="0"/>
          <w:sz w:val="24"/>
        </w:rPr>
        <w:t>月</w:t>
      </w:r>
      <w:r>
        <w:rPr>
          <w:rFonts w:hint="eastAsia" w:ascii="仿宋" w:hAnsi="仿宋" w:eastAsia="仿宋" w:cs="仿宋"/>
          <w:kern w:val="0"/>
          <w:sz w:val="24"/>
          <w:u w:val="single"/>
        </w:rPr>
        <w:t xml:space="preserve">  </w:t>
      </w:r>
      <w:r>
        <w:rPr>
          <w:rFonts w:hint="eastAsia" w:ascii="仿宋" w:hAnsi="仿宋" w:eastAsia="仿宋" w:cs="仿宋"/>
          <w:kern w:val="0"/>
          <w:sz w:val="24"/>
        </w:rPr>
        <w:t>日</w:t>
      </w:r>
    </w:p>
    <w:p w14:paraId="50FE8CEE">
      <w:pPr>
        <w:widowControl/>
        <w:tabs>
          <w:tab w:val="left" w:pos="8391"/>
        </w:tabs>
        <w:autoSpaceDE w:val="0"/>
        <w:autoSpaceDN w:val="0"/>
        <w:snapToGrid w:val="0"/>
        <w:spacing w:line="360" w:lineRule="auto"/>
        <w:ind w:right="-69" w:firstLine="840" w:firstLineChars="350"/>
        <w:textAlignment w:val="bottom"/>
        <w:rPr>
          <w:rFonts w:hint="eastAsia" w:ascii="仿宋" w:hAnsi="仿宋" w:eastAsia="仿宋" w:cs="仿宋"/>
          <w:kern w:val="0"/>
          <w:sz w:val="24"/>
        </w:rPr>
      </w:pPr>
    </w:p>
    <w:tbl>
      <w:tblPr>
        <w:tblStyle w:val="3"/>
        <w:tblW w:w="0" w:type="auto"/>
        <w:jc w:val="center"/>
        <w:tblLayout w:type="fixed"/>
        <w:tblCellMar>
          <w:top w:w="0" w:type="dxa"/>
          <w:left w:w="108" w:type="dxa"/>
          <w:bottom w:w="0" w:type="dxa"/>
          <w:right w:w="108" w:type="dxa"/>
        </w:tblCellMar>
      </w:tblPr>
      <w:tblGrid>
        <w:gridCol w:w="4643"/>
        <w:gridCol w:w="4643"/>
      </w:tblGrid>
      <w:tr w14:paraId="4ED5690A">
        <w:tblPrEx>
          <w:tblCellMar>
            <w:top w:w="0" w:type="dxa"/>
            <w:left w:w="108" w:type="dxa"/>
            <w:bottom w:w="0" w:type="dxa"/>
            <w:right w:w="108" w:type="dxa"/>
          </w:tblCellMar>
        </w:tblPrEx>
        <w:trPr>
          <w:jc w:val="center"/>
        </w:trPr>
        <w:tc>
          <w:tcPr>
            <w:tcW w:w="4643" w:type="dxa"/>
            <w:noWrap w:val="0"/>
            <w:vAlign w:val="top"/>
          </w:tcPr>
          <w:p w14:paraId="6447F3CE">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甲方名称</w:t>
            </w:r>
            <w:r>
              <w:rPr>
                <w:rFonts w:hint="eastAsia" w:ascii="仿宋" w:hAnsi="仿宋" w:eastAsia="仿宋" w:cs="仿宋"/>
                <w:spacing w:val="-20"/>
                <w:kern w:val="0"/>
                <w:sz w:val="24"/>
              </w:rPr>
              <w:t>（盖章）</w:t>
            </w:r>
            <w:r>
              <w:rPr>
                <w:rFonts w:hint="eastAsia" w:ascii="仿宋" w:hAnsi="仿宋" w:eastAsia="仿宋" w:cs="仿宋"/>
                <w:kern w:val="0"/>
                <w:sz w:val="24"/>
              </w:rPr>
              <w:t>:</w:t>
            </w:r>
          </w:p>
          <w:p w14:paraId="146A6F8E">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地址：</w:t>
            </w:r>
          </w:p>
          <w:p w14:paraId="6A6412AD">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代表人（签字）：</w:t>
            </w:r>
          </w:p>
          <w:p w14:paraId="743228E0">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电话：</w:t>
            </w:r>
          </w:p>
          <w:p w14:paraId="0492385E">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开户银行：</w:t>
            </w:r>
          </w:p>
          <w:p w14:paraId="157EC454">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账号：</w:t>
            </w:r>
          </w:p>
        </w:tc>
        <w:tc>
          <w:tcPr>
            <w:tcW w:w="4643" w:type="dxa"/>
            <w:noWrap w:val="0"/>
            <w:vAlign w:val="top"/>
          </w:tcPr>
          <w:p w14:paraId="60AEC540">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乙方名称</w:t>
            </w:r>
            <w:r>
              <w:rPr>
                <w:rFonts w:hint="eastAsia" w:ascii="仿宋" w:hAnsi="仿宋" w:eastAsia="仿宋" w:cs="仿宋"/>
                <w:spacing w:val="-20"/>
                <w:kern w:val="0"/>
                <w:sz w:val="24"/>
              </w:rPr>
              <w:t>（盖章）</w:t>
            </w:r>
            <w:r>
              <w:rPr>
                <w:rFonts w:hint="eastAsia" w:ascii="仿宋" w:hAnsi="仿宋" w:eastAsia="仿宋" w:cs="仿宋"/>
                <w:kern w:val="0"/>
                <w:sz w:val="24"/>
              </w:rPr>
              <w:t>:</w:t>
            </w:r>
          </w:p>
          <w:p w14:paraId="2E06DE2D">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地址：</w:t>
            </w:r>
          </w:p>
          <w:p w14:paraId="7F5EA2EF">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代表人（签字）：</w:t>
            </w:r>
          </w:p>
          <w:p w14:paraId="37EC8390">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电话：</w:t>
            </w:r>
          </w:p>
          <w:p w14:paraId="4067FB92">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开户银行：</w:t>
            </w:r>
          </w:p>
          <w:p w14:paraId="5FDF6436">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账号：</w:t>
            </w:r>
          </w:p>
        </w:tc>
      </w:tr>
    </w:tbl>
    <w:p w14:paraId="46F74C02">
      <w:pPr>
        <w:spacing w:line="360" w:lineRule="auto"/>
        <w:rPr>
          <w:rFonts w:hint="eastAsia" w:ascii="仿宋" w:hAnsi="仿宋" w:eastAsia="仿宋" w:cs="仿宋"/>
          <w:sz w:val="24"/>
        </w:rPr>
      </w:pPr>
      <w:r>
        <w:rPr>
          <w:rFonts w:hint="eastAsia" w:ascii="仿宋" w:hAnsi="仿宋" w:eastAsia="仿宋" w:cs="仿宋"/>
        </w:rPr>
        <w:br w:type="page"/>
      </w:r>
      <w:r>
        <w:rPr>
          <w:rFonts w:hint="eastAsia" w:ascii="仿宋" w:hAnsi="仿宋" w:eastAsia="仿宋" w:cs="仿宋"/>
          <w:sz w:val="24"/>
        </w:rPr>
        <w:t>合同附件：</w:t>
      </w:r>
    </w:p>
    <w:tbl>
      <w:tblPr>
        <w:tblStyle w:val="3"/>
        <w:tblW w:w="5000" w:type="pct"/>
        <w:tblInd w:w="0" w:type="dxa"/>
        <w:tblLayout w:type="autofit"/>
        <w:tblCellMar>
          <w:top w:w="0" w:type="dxa"/>
          <w:left w:w="108" w:type="dxa"/>
          <w:bottom w:w="0" w:type="dxa"/>
          <w:right w:w="108" w:type="dxa"/>
        </w:tblCellMar>
      </w:tblPr>
      <w:tblGrid>
        <w:gridCol w:w="1571"/>
        <w:gridCol w:w="2299"/>
        <w:gridCol w:w="2524"/>
        <w:gridCol w:w="2128"/>
      </w:tblGrid>
      <w:tr w14:paraId="16E026E4">
        <w:tblPrEx>
          <w:tblCellMar>
            <w:top w:w="0" w:type="dxa"/>
            <w:left w:w="108" w:type="dxa"/>
            <w:bottom w:w="0" w:type="dxa"/>
            <w:right w:w="108" w:type="dxa"/>
          </w:tblCellMar>
        </w:tblPrEx>
        <w:trPr>
          <w:trHeight w:val="900" w:hRule="atLeast"/>
        </w:trPr>
        <w:tc>
          <w:tcPr>
            <w:tcW w:w="5000" w:type="pct"/>
            <w:gridSpan w:val="4"/>
            <w:tcBorders>
              <w:top w:val="nil"/>
              <w:left w:val="nil"/>
              <w:bottom w:val="nil"/>
              <w:right w:val="nil"/>
            </w:tcBorders>
            <w:noWrap/>
            <w:vAlign w:val="center"/>
          </w:tcPr>
          <w:p w14:paraId="51B56B13">
            <w:pPr>
              <w:widowControl/>
              <w:jc w:val="center"/>
              <w:rPr>
                <w:rFonts w:hint="eastAsia" w:ascii="仿宋" w:hAnsi="仿宋" w:eastAsia="仿宋" w:cs="仿宋"/>
                <w:b/>
                <w:bCs/>
                <w:kern w:val="0"/>
                <w:sz w:val="32"/>
                <w:szCs w:val="32"/>
              </w:rPr>
            </w:pPr>
            <w:r>
              <w:rPr>
                <w:rFonts w:hint="eastAsia" w:ascii="仿宋" w:hAnsi="仿宋" w:eastAsia="仿宋" w:cs="仿宋"/>
                <w:kern w:val="0"/>
                <w:sz w:val="28"/>
                <w:szCs w:val="28"/>
              </w:rPr>
              <w:t>政府采购项目货物（服务）验收入库报告单</w:t>
            </w:r>
          </w:p>
        </w:tc>
      </w:tr>
      <w:tr w14:paraId="40033C65">
        <w:tblPrEx>
          <w:tblCellMar>
            <w:top w:w="0" w:type="dxa"/>
            <w:left w:w="108" w:type="dxa"/>
            <w:bottom w:w="0" w:type="dxa"/>
            <w:right w:w="108" w:type="dxa"/>
          </w:tblCellMar>
        </w:tblPrEx>
        <w:trPr>
          <w:trHeight w:val="540" w:hRule="atLeast"/>
        </w:trPr>
        <w:tc>
          <w:tcPr>
            <w:tcW w:w="922" w:type="pct"/>
            <w:tcBorders>
              <w:top w:val="single" w:color="auto" w:sz="8" w:space="0"/>
              <w:left w:val="single" w:color="auto" w:sz="8" w:space="0"/>
              <w:bottom w:val="single" w:color="auto" w:sz="4" w:space="0"/>
              <w:right w:val="single" w:color="auto" w:sz="4" w:space="0"/>
            </w:tcBorders>
            <w:noWrap/>
            <w:vAlign w:val="center"/>
          </w:tcPr>
          <w:p w14:paraId="1EE40295">
            <w:pPr>
              <w:widowControl/>
              <w:jc w:val="center"/>
              <w:rPr>
                <w:rFonts w:hint="eastAsia" w:ascii="仿宋" w:hAnsi="仿宋" w:eastAsia="仿宋" w:cs="仿宋"/>
                <w:kern w:val="0"/>
                <w:sz w:val="24"/>
              </w:rPr>
            </w:pPr>
            <w:r>
              <w:rPr>
                <w:rFonts w:hint="eastAsia" w:ascii="仿宋" w:hAnsi="仿宋" w:eastAsia="仿宋" w:cs="仿宋"/>
                <w:kern w:val="0"/>
                <w:sz w:val="24"/>
              </w:rPr>
              <w:t>采购单位</w:t>
            </w:r>
          </w:p>
        </w:tc>
        <w:tc>
          <w:tcPr>
            <w:tcW w:w="4078" w:type="pct"/>
            <w:gridSpan w:val="3"/>
            <w:tcBorders>
              <w:top w:val="single" w:color="auto" w:sz="8" w:space="0"/>
              <w:left w:val="nil"/>
              <w:bottom w:val="single" w:color="auto" w:sz="4" w:space="0"/>
              <w:right w:val="single" w:color="000000" w:sz="8" w:space="0"/>
            </w:tcBorders>
            <w:noWrap/>
            <w:vAlign w:val="center"/>
          </w:tcPr>
          <w:p w14:paraId="3C05FFCE">
            <w:pPr>
              <w:widowControl/>
              <w:jc w:val="center"/>
              <w:rPr>
                <w:rFonts w:hint="eastAsia" w:ascii="仿宋" w:hAnsi="仿宋" w:eastAsia="仿宋" w:cs="仿宋"/>
                <w:kern w:val="0"/>
                <w:sz w:val="24"/>
              </w:rPr>
            </w:pPr>
            <w:r>
              <w:rPr>
                <w:rFonts w:hint="eastAsia" w:ascii="仿宋" w:hAnsi="仿宋" w:eastAsia="仿宋" w:cs="仿宋"/>
                <w:kern w:val="0"/>
                <w:sz w:val="24"/>
              </w:rPr>
              <w:t>　</w:t>
            </w:r>
          </w:p>
        </w:tc>
      </w:tr>
      <w:tr w14:paraId="188ABA13">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68FD03F2">
            <w:pPr>
              <w:widowControl/>
              <w:jc w:val="center"/>
              <w:rPr>
                <w:rFonts w:hint="eastAsia" w:ascii="仿宋" w:hAnsi="仿宋" w:eastAsia="仿宋" w:cs="仿宋"/>
                <w:kern w:val="0"/>
                <w:sz w:val="24"/>
              </w:rPr>
            </w:pPr>
            <w:r>
              <w:rPr>
                <w:rFonts w:hint="eastAsia" w:ascii="仿宋" w:hAnsi="仿宋" w:eastAsia="仿宋" w:cs="仿宋"/>
                <w:kern w:val="0"/>
                <w:sz w:val="24"/>
              </w:rPr>
              <w:t>采购项目</w:t>
            </w:r>
          </w:p>
        </w:tc>
        <w:tc>
          <w:tcPr>
            <w:tcW w:w="4078" w:type="pct"/>
            <w:gridSpan w:val="3"/>
            <w:tcBorders>
              <w:top w:val="single" w:color="auto" w:sz="4" w:space="0"/>
              <w:left w:val="nil"/>
              <w:bottom w:val="single" w:color="auto" w:sz="4" w:space="0"/>
              <w:right w:val="single" w:color="000000" w:sz="8" w:space="0"/>
            </w:tcBorders>
            <w:noWrap/>
            <w:vAlign w:val="center"/>
          </w:tcPr>
          <w:p w14:paraId="2729ECFD">
            <w:pPr>
              <w:widowControl/>
              <w:jc w:val="center"/>
              <w:rPr>
                <w:rFonts w:hint="eastAsia" w:ascii="仿宋" w:hAnsi="仿宋" w:eastAsia="仿宋" w:cs="仿宋"/>
                <w:kern w:val="0"/>
                <w:sz w:val="24"/>
              </w:rPr>
            </w:pPr>
            <w:r>
              <w:rPr>
                <w:rFonts w:hint="eastAsia" w:ascii="仿宋" w:hAnsi="仿宋" w:eastAsia="仿宋" w:cs="仿宋"/>
                <w:kern w:val="0"/>
                <w:sz w:val="24"/>
              </w:rPr>
              <w:t>　</w:t>
            </w:r>
          </w:p>
        </w:tc>
      </w:tr>
      <w:tr w14:paraId="5D1DAAA6">
        <w:tblPrEx>
          <w:tblCellMar>
            <w:top w:w="0" w:type="dxa"/>
            <w:left w:w="108" w:type="dxa"/>
            <w:bottom w:w="0" w:type="dxa"/>
            <w:right w:w="108" w:type="dxa"/>
          </w:tblCellMar>
        </w:tblPrEx>
        <w:trPr>
          <w:trHeight w:val="540" w:hRule="atLeast"/>
        </w:trPr>
        <w:tc>
          <w:tcPr>
            <w:tcW w:w="922" w:type="pct"/>
            <w:vMerge w:val="restart"/>
            <w:tcBorders>
              <w:top w:val="nil"/>
              <w:left w:val="single" w:color="auto" w:sz="8" w:space="0"/>
              <w:bottom w:val="single" w:color="auto" w:sz="4" w:space="0"/>
              <w:right w:val="single" w:color="auto" w:sz="4" w:space="0"/>
            </w:tcBorders>
            <w:noWrap/>
            <w:vAlign w:val="center"/>
          </w:tcPr>
          <w:p w14:paraId="1F230C0E">
            <w:pPr>
              <w:widowControl/>
              <w:jc w:val="center"/>
              <w:rPr>
                <w:rFonts w:hint="eastAsia" w:ascii="仿宋" w:hAnsi="仿宋" w:eastAsia="仿宋" w:cs="仿宋"/>
                <w:kern w:val="0"/>
                <w:sz w:val="24"/>
              </w:rPr>
            </w:pPr>
            <w:r>
              <w:rPr>
                <w:rFonts w:hint="eastAsia" w:ascii="仿宋" w:hAnsi="仿宋" w:eastAsia="仿宋" w:cs="仿宋"/>
                <w:kern w:val="0"/>
                <w:sz w:val="24"/>
              </w:rPr>
              <w:t>项目编号</w:t>
            </w:r>
          </w:p>
        </w:tc>
        <w:tc>
          <w:tcPr>
            <w:tcW w:w="1349" w:type="pct"/>
            <w:vMerge w:val="restart"/>
            <w:tcBorders>
              <w:top w:val="nil"/>
              <w:left w:val="single" w:color="auto" w:sz="4" w:space="0"/>
              <w:bottom w:val="single" w:color="auto" w:sz="4" w:space="0"/>
              <w:right w:val="single" w:color="auto" w:sz="4" w:space="0"/>
            </w:tcBorders>
            <w:noWrap/>
            <w:vAlign w:val="center"/>
          </w:tcPr>
          <w:p w14:paraId="71C327A0">
            <w:pPr>
              <w:widowControl/>
              <w:jc w:val="center"/>
              <w:rPr>
                <w:rFonts w:hint="eastAsia" w:ascii="仿宋" w:hAnsi="仿宋" w:eastAsia="仿宋" w:cs="仿宋"/>
                <w:kern w:val="0"/>
                <w:sz w:val="24"/>
              </w:rPr>
            </w:pPr>
            <w:r>
              <w:rPr>
                <w:rFonts w:hint="eastAsia" w:ascii="仿宋" w:hAnsi="仿宋" w:eastAsia="仿宋" w:cs="仿宋"/>
                <w:kern w:val="0"/>
                <w:sz w:val="24"/>
              </w:rPr>
              <w:t>　</w:t>
            </w:r>
          </w:p>
        </w:tc>
        <w:tc>
          <w:tcPr>
            <w:tcW w:w="1481" w:type="pct"/>
            <w:tcBorders>
              <w:top w:val="nil"/>
              <w:left w:val="nil"/>
              <w:bottom w:val="single" w:color="auto" w:sz="4" w:space="0"/>
              <w:right w:val="single" w:color="auto" w:sz="4" w:space="0"/>
            </w:tcBorders>
            <w:noWrap/>
            <w:vAlign w:val="center"/>
          </w:tcPr>
          <w:p w14:paraId="6B18A0C0">
            <w:pPr>
              <w:widowControl/>
              <w:jc w:val="center"/>
              <w:rPr>
                <w:rFonts w:hint="eastAsia" w:ascii="仿宋" w:hAnsi="仿宋" w:eastAsia="仿宋" w:cs="仿宋"/>
                <w:kern w:val="0"/>
                <w:sz w:val="24"/>
              </w:rPr>
            </w:pPr>
            <w:r>
              <w:rPr>
                <w:rFonts w:hint="eastAsia" w:ascii="仿宋" w:hAnsi="仿宋" w:eastAsia="仿宋" w:cs="仿宋"/>
                <w:kern w:val="0"/>
                <w:sz w:val="24"/>
              </w:rPr>
              <w:t>合同金额</w:t>
            </w:r>
          </w:p>
        </w:tc>
        <w:tc>
          <w:tcPr>
            <w:tcW w:w="1248" w:type="pct"/>
            <w:tcBorders>
              <w:top w:val="nil"/>
              <w:left w:val="nil"/>
              <w:bottom w:val="single" w:color="auto" w:sz="4" w:space="0"/>
              <w:right w:val="single" w:color="auto" w:sz="8" w:space="0"/>
            </w:tcBorders>
            <w:noWrap/>
            <w:vAlign w:val="center"/>
          </w:tcPr>
          <w:p w14:paraId="0B5D2BD2">
            <w:pPr>
              <w:widowControl/>
              <w:jc w:val="left"/>
              <w:rPr>
                <w:rFonts w:hint="eastAsia" w:ascii="仿宋" w:hAnsi="仿宋" w:eastAsia="仿宋" w:cs="仿宋"/>
                <w:kern w:val="0"/>
                <w:sz w:val="24"/>
              </w:rPr>
            </w:pPr>
            <w:r>
              <w:rPr>
                <w:rFonts w:hint="eastAsia" w:ascii="仿宋" w:hAnsi="仿宋" w:eastAsia="仿宋" w:cs="仿宋"/>
                <w:kern w:val="0"/>
                <w:sz w:val="24"/>
              </w:rPr>
              <w:t>¥:</w:t>
            </w:r>
          </w:p>
        </w:tc>
      </w:tr>
      <w:tr w14:paraId="725097BF">
        <w:tblPrEx>
          <w:tblCellMar>
            <w:top w:w="0" w:type="dxa"/>
            <w:left w:w="108" w:type="dxa"/>
            <w:bottom w:w="0" w:type="dxa"/>
            <w:right w:w="108" w:type="dxa"/>
          </w:tblCellMar>
        </w:tblPrEx>
        <w:trPr>
          <w:trHeight w:val="540" w:hRule="atLeast"/>
        </w:trPr>
        <w:tc>
          <w:tcPr>
            <w:tcW w:w="922" w:type="pct"/>
            <w:vMerge w:val="continue"/>
            <w:tcBorders>
              <w:top w:val="nil"/>
              <w:left w:val="single" w:color="auto" w:sz="8" w:space="0"/>
              <w:bottom w:val="single" w:color="auto" w:sz="4" w:space="0"/>
              <w:right w:val="single" w:color="auto" w:sz="4" w:space="0"/>
            </w:tcBorders>
            <w:noWrap w:val="0"/>
            <w:vAlign w:val="center"/>
          </w:tcPr>
          <w:p w14:paraId="658B09DC">
            <w:pPr>
              <w:widowControl/>
              <w:jc w:val="left"/>
              <w:rPr>
                <w:rFonts w:hint="eastAsia" w:ascii="仿宋" w:hAnsi="仿宋" w:eastAsia="仿宋" w:cs="仿宋"/>
                <w:kern w:val="0"/>
                <w:sz w:val="24"/>
              </w:rPr>
            </w:pPr>
          </w:p>
        </w:tc>
        <w:tc>
          <w:tcPr>
            <w:tcW w:w="1349" w:type="pct"/>
            <w:vMerge w:val="continue"/>
            <w:tcBorders>
              <w:top w:val="nil"/>
              <w:left w:val="single" w:color="auto" w:sz="4" w:space="0"/>
              <w:bottom w:val="single" w:color="auto" w:sz="4" w:space="0"/>
              <w:right w:val="single" w:color="auto" w:sz="4" w:space="0"/>
            </w:tcBorders>
            <w:noWrap w:val="0"/>
            <w:vAlign w:val="center"/>
          </w:tcPr>
          <w:p w14:paraId="67FBBBDE">
            <w:pPr>
              <w:widowControl/>
              <w:jc w:val="left"/>
              <w:rPr>
                <w:rFonts w:hint="eastAsia" w:ascii="仿宋" w:hAnsi="仿宋" w:eastAsia="仿宋" w:cs="仿宋"/>
                <w:kern w:val="0"/>
                <w:sz w:val="24"/>
              </w:rPr>
            </w:pPr>
          </w:p>
        </w:tc>
        <w:tc>
          <w:tcPr>
            <w:tcW w:w="1481" w:type="pct"/>
            <w:tcBorders>
              <w:top w:val="nil"/>
              <w:left w:val="nil"/>
              <w:bottom w:val="single" w:color="auto" w:sz="4" w:space="0"/>
              <w:right w:val="single" w:color="auto" w:sz="4" w:space="0"/>
            </w:tcBorders>
            <w:noWrap/>
            <w:vAlign w:val="center"/>
          </w:tcPr>
          <w:p w14:paraId="0FD68461">
            <w:pPr>
              <w:widowControl/>
              <w:jc w:val="center"/>
              <w:rPr>
                <w:rFonts w:hint="eastAsia" w:ascii="仿宋" w:hAnsi="仿宋" w:eastAsia="仿宋" w:cs="仿宋"/>
                <w:kern w:val="0"/>
                <w:sz w:val="24"/>
              </w:rPr>
            </w:pPr>
            <w:r>
              <w:rPr>
                <w:rFonts w:hint="eastAsia" w:ascii="仿宋" w:hAnsi="仿宋" w:eastAsia="仿宋" w:cs="仿宋"/>
                <w:kern w:val="0"/>
                <w:sz w:val="24"/>
              </w:rPr>
              <w:t>验收时间/地点</w:t>
            </w:r>
          </w:p>
        </w:tc>
        <w:tc>
          <w:tcPr>
            <w:tcW w:w="1248" w:type="pct"/>
            <w:tcBorders>
              <w:top w:val="nil"/>
              <w:left w:val="nil"/>
              <w:bottom w:val="single" w:color="auto" w:sz="4" w:space="0"/>
              <w:right w:val="single" w:color="auto" w:sz="8" w:space="0"/>
            </w:tcBorders>
            <w:noWrap/>
            <w:vAlign w:val="center"/>
          </w:tcPr>
          <w:p w14:paraId="025BC0B8">
            <w:pPr>
              <w:widowControl/>
              <w:jc w:val="center"/>
              <w:rPr>
                <w:rFonts w:hint="eastAsia" w:ascii="仿宋" w:hAnsi="仿宋" w:eastAsia="仿宋" w:cs="仿宋"/>
                <w:kern w:val="0"/>
                <w:sz w:val="24"/>
              </w:rPr>
            </w:pPr>
            <w:r>
              <w:rPr>
                <w:rFonts w:hint="eastAsia" w:ascii="仿宋" w:hAnsi="仿宋" w:eastAsia="仿宋" w:cs="仿宋"/>
                <w:kern w:val="0"/>
                <w:sz w:val="24"/>
              </w:rPr>
              <w:t>　</w:t>
            </w:r>
          </w:p>
        </w:tc>
      </w:tr>
      <w:tr w14:paraId="668D5AB4">
        <w:tblPrEx>
          <w:tblCellMar>
            <w:top w:w="0" w:type="dxa"/>
            <w:left w:w="108" w:type="dxa"/>
            <w:bottom w:w="0" w:type="dxa"/>
            <w:right w:w="108" w:type="dxa"/>
          </w:tblCellMar>
        </w:tblPrEx>
        <w:trPr>
          <w:trHeight w:val="471" w:hRule="atLeast"/>
        </w:trPr>
        <w:tc>
          <w:tcPr>
            <w:tcW w:w="922" w:type="pct"/>
            <w:tcBorders>
              <w:top w:val="nil"/>
              <w:left w:val="single" w:color="auto" w:sz="8" w:space="0"/>
              <w:bottom w:val="single" w:color="auto" w:sz="4" w:space="0"/>
              <w:right w:val="single" w:color="auto" w:sz="4" w:space="0"/>
            </w:tcBorders>
            <w:noWrap/>
            <w:vAlign w:val="center"/>
          </w:tcPr>
          <w:p w14:paraId="12A84E0D">
            <w:pPr>
              <w:widowControl/>
              <w:jc w:val="center"/>
              <w:rPr>
                <w:rFonts w:hint="eastAsia" w:ascii="仿宋" w:hAnsi="仿宋" w:eastAsia="仿宋" w:cs="仿宋"/>
                <w:kern w:val="0"/>
                <w:sz w:val="24"/>
              </w:rPr>
            </w:pPr>
            <w:r>
              <w:rPr>
                <w:rFonts w:hint="eastAsia" w:ascii="仿宋" w:hAnsi="仿宋" w:eastAsia="仿宋" w:cs="仿宋"/>
                <w:kern w:val="0"/>
                <w:sz w:val="24"/>
              </w:rPr>
              <w:t>供货单位</w:t>
            </w:r>
          </w:p>
        </w:tc>
        <w:tc>
          <w:tcPr>
            <w:tcW w:w="4078" w:type="pct"/>
            <w:gridSpan w:val="3"/>
            <w:tcBorders>
              <w:top w:val="single" w:color="auto" w:sz="4" w:space="0"/>
              <w:left w:val="nil"/>
              <w:bottom w:val="single" w:color="auto" w:sz="4" w:space="0"/>
              <w:right w:val="single" w:color="000000" w:sz="8" w:space="0"/>
            </w:tcBorders>
            <w:noWrap/>
            <w:vAlign w:val="center"/>
          </w:tcPr>
          <w:p w14:paraId="4B44F439">
            <w:pPr>
              <w:widowControl/>
              <w:jc w:val="center"/>
              <w:rPr>
                <w:rFonts w:hint="eastAsia" w:ascii="仿宋" w:hAnsi="仿宋" w:eastAsia="仿宋" w:cs="仿宋"/>
                <w:kern w:val="0"/>
                <w:sz w:val="24"/>
              </w:rPr>
            </w:pPr>
            <w:r>
              <w:rPr>
                <w:rFonts w:hint="eastAsia" w:ascii="仿宋" w:hAnsi="仿宋" w:eastAsia="仿宋" w:cs="仿宋"/>
                <w:kern w:val="0"/>
                <w:sz w:val="24"/>
              </w:rPr>
              <w:t>　</w:t>
            </w:r>
          </w:p>
        </w:tc>
      </w:tr>
      <w:tr w14:paraId="000C573B">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435FE38B">
            <w:pPr>
              <w:widowControl/>
              <w:jc w:val="center"/>
              <w:rPr>
                <w:rFonts w:hint="eastAsia" w:ascii="仿宋" w:hAnsi="仿宋" w:eastAsia="仿宋" w:cs="仿宋"/>
                <w:kern w:val="0"/>
                <w:sz w:val="24"/>
              </w:rPr>
            </w:pPr>
            <w:r>
              <w:rPr>
                <w:rFonts w:hint="eastAsia" w:ascii="仿宋" w:hAnsi="仿宋" w:eastAsia="仿宋" w:cs="仿宋"/>
                <w:kern w:val="0"/>
                <w:sz w:val="24"/>
              </w:rPr>
              <w:t>开户行</w:t>
            </w:r>
          </w:p>
        </w:tc>
        <w:tc>
          <w:tcPr>
            <w:tcW w:w="1349" w:type="pct"/>
            <w:tcBorders>
              <w:top w:val="nil"/>
              <w:left w:val="nil"/>
              <w:bottom w:val="single" w:color="auto" w:sz="4" w:space="0"/>
              <w:right w:val="single" w:color="auto" w:sz="4" w:space="0"/>
            </w:tcBorders>
            <w:noWrap/>
            <w:vAlign w:val="center"/>
          </w:tcPr>
          <w:p w14:paraId="7304F881">
            <w:pPr>
              <w:widowControl/>
              <w:jc w:val="center"/>
              <w:rPr>
                <w:rFonts w:hint="eastAsia" w:ascii="仿宋" w:hAnsi="仿宋" w:eastAsia="仿宋" w:cs="仿宋"/>
                <w:kern w:val="0"/>
                <w:sz w:val="24"/>
              </w:rPr>
            </w:pPr>
            <w:r>
              <w:rPr>
                <w:rFonts w:hint="eastAsia" w:ascii="仿宋" w:hAnsi="仿宋" w:eastAsia="仿宋" w:cs="仿宋"/>
                <w:kern w:val="0"/>
                <w:sz w:val="24"/>
              </w:rPr>
              <w:t>　</w:t>
            </w:r>
          </w:p>
        </w:tc>
        <w:tc>
          <w:tcPr>
            <w:tcW w:w="1481" w:type="pct"/>
            <w:tcBorders>
              <w:top w:val="nil"/>
              <w:left w:val="nil"/>
              <w:bottom w:val="single" w:color="auto" w:sz="4" w:space="0"/>
              <w:right w:val="single" w:color="auto" w:sz="4" w:space="0"/>
            </w:tcBorders>
            <w:noWrap/>
            <w:vAlign w:val="center"/>
          </w:tcPr>
          <w:p w14:paraId="2E3401D6">
            <w:pPr>
              <w:widowControl/>
              <w:jc w:val="center"/>
              <w:rPr>
                <w:rFonts w:hint="eastAsia" w:ascii="仿宋" w:hAnsi="仿宋" w:eastAsia="仿宋" w:cs="仿宋"/>
                <w:kern w:val="0"/>
                <w:sz w:val="24"/>
              </w:rPr>
            </w:pPr>
            <w:r>
              <w:rPr>
                <w:rFonts w:hint="eastAsia" w:ascii="仿宋" w:hAnsi="仿宋" w:eastAsia="仿宋" w:cs="仿宋"/>
                <w:kern w:val="0"/>
                <w:sz w:val="24"/>
              </w:rPr>
              <w:t>账号</w:t>
            </w:r>
          </w:p>
        </w:tc>
        <w:tc>
          <w:tcPr>
            <w:tcW w:w="1248" w:type="pct"/>
            <w:tcBorders>
              <w:top w:val="nil"/>
              <w:left w:val="nil"/>
              <w:bottom w:val="single" w:color="auto" w:sz="4" w:space="0"/>
              <w:right w:val="single" w:color="auto" w:sz="8" w:space="0"/>
            </w:tcBorders>
            <w:noWrap/>
            <w:vAlign w:val="center"/>
          </w:tcPr>
          <w:p w14:paraId="09547C08">
            <w:pPr>
              <w:widowControl/>
              <w:jc w:val="center"/>
              <w:rPr>
                <w:rFonts w:hint="eastAsia" w:ascii="仿宋" w:hAnsi="仿宋" w:eastAsia="仿宋" w:cs="仿宋"/>
                <w:kern w:val="0"/>
                <w:sz w:val="24"/>
              </w:rPr>
            </w:pPr>
            <w:r>
              <w:rPr>
                <w:rFonts w:hint="eastAsia" w:ascii="仿宋" w:hAnsi="仿宋" w:eastAsia="仿宋" w:cs="仿宋"/>
                <w:kern w:val="0"/>
                <w:sz w:val="24"/>
              </w:rPr>
              <w:t>　</w:t>
            </w:r>
          </w:p>
        </w:tc>
      </w:tr>
      <w:tr w14:paraId="4063D77C">
        <w:tblPrEx>
          <w:tblCellMar>
            <w:top w:w="0" w:type="dxa"/>
            <w:left w:w="108" w:type="dxa"/>
            <w:bottom w:w="0" w:type="dxa"/>
            <w:right w:w="108" w:type="dxa"/>
          </w:tblCellMar>
        </w:tblPrEx>
        <w:trPr>
          <w:trHeight w:val="540" w:hRule="atLeast"/>
        </w:trPr>
        <w:tc>
          <w:tcPr>
            <w:tcW w:w="922" w:type="pct"/>
            <w:tcBorders>
              <w:top w:val="nil"/>
              <w:left w:val="single" w:color="auto" w:sz="8" w:space="0"/>
              <w:bottom w:val="nil"/>
              <w:right w:val="single" w:color="auto" w:sz="4" w:space="0"/>
            </w:tcBorders>
            <w:noWrap/>
            <w:vAlign w:val="center"/>
          </w:tcPr>
          <w:p w14:paraId="28EAF220">
            <w:pPr>
              <w:widowControl/>
              <w:jc w:val="center"/>
              <w:rPr>
                <w:rFonts w:hint="eastAsia" w:ascii="仿宋" w:hAnsi="仿宋" w:eastAsia="仿宋" w:cs="仿宋"/>
                <w:kern w:val="0"/>
                <w:sz w:val="24"/>
              </w:rPr>
            </w:pPr>
            <w:r>
              <w:rPr>
                <w:rFonts w:hint="eastAsia" w:ascii="仿宋" w:hAnsi="仿宋" w:eastAsia="仿宋" w:cs="仿宋"/>
                <w:kern w:val="0"/>
                <w:sz w:val="24"/>
              </w:rPr>
              <w:t>联系人</w:t>
            </w:r>
          </w:p>
        </w:tc>
        <w:tc>
          <w:tcPr>
            <w:tcW w:w="1349" w:type="pct"/>
            <w:tcBorders>
              <w:top w:val="nil"/>
              <w:left w:val="nil"/>
              <w:bottom w:val="nil"/>
              <w:right w:val="single" w:color="auto" w:sz="4" w:space="0"/>
            </w:tcBorders>
            <w:noWrap/>
            <w:vAlign w:val="center"/>
          </w:tcPr>
          <w:p w14:paraId="35E66F4C">
            <w:pPr>
              <w:widowControl/>
              <w:jc w:val="center"/>
              <w:rPr>
                <w:rFonts w:hint="eastAsia" w:ascii="仿宋" w:hAnsi="仿宋" w:eastAsia="仿宋" w:cs="仿宋"/>
                <w:kern w:val="0"/>
                <w:sz w:val="24"/>
              </w:rPr>
            </w:pPr>
            <w:r>
              <w:rPr>
                <w:rFonts w:hint="eastAsia" w:ascii="仿宋" w:hAnsi="仿宋" w:eastAsia="仿宋" w:cs="仿宋"/>
                <w:kern w:val="0"/>
                <w:sz w:val="24"/>
              </w:rPr>
              <w:t>　</w:t>
            </w:r>
          </w:p>
        </w:tc>
        <w:tc>
          <w:tcPr>
            <w:tcW w:w="1481" w:type="pct"/>
            <w:tcBorders>
              <w:top w:val="nil"/>
              <w:left w:val="nil"/>
              <w:bottom w:val="nil"/>
              <w:right w:val="single" w:color="auto" w:sz="4" w:space="0"/>
            </w:tcBorders>
            <w:noWrap/>
            <w:vAlign w:val="center"/>
          </w:tcPr>
          <w:p w14:paraId="386064BB">
            <w:pPr>
              <w:widowControl/>
              <w:jc w:val="center"/>
              <w:rPr>
                <w:rFonts w:hint="eastAsia" w:ascii="仿宋" w:hAnsi="仿宋" w:eastAsia="仿宋" w:cs="仿宋"/>
                <w:kern w:val="0"/>
                <w:sz w:val="24"/>
              </w:rPr>
            </w:pPr>
            <w:r>
              <w:rPr>
                <w:rFonts w:hint="eastAsia" w:ascii="仿宋" w:hAnsi="仿宋" w:eastAsia="仿宋" w:cs="仿宋"/>
                <w:kern w:val="0"/>
                <w:sz w:val="24"/>
              </w:rPr>
              <w:t>电话</w:t>
            </w:r>
          </w:p>
        </w:tc>
        <w:tc>
          <w:tcPr>
            <w:tcW w:w="1248" w:type="pct"/>
            <w:tcBorders>
              <w:top w:val="nil"/>
              <w:left w:val="nil"/>
              <w:bottom w:val="nil"/>
              <w:right w:val="single" w:color="auto" w:sz="8" w:space="0"/>
            </w:tcBorders>
            <w:noWrap/>
            <w:vAlign w:val="center"/>
          </w:tcPr>
          <w:p w14:paraId="4AA6129B">
            <w:pPr>
              <w:widowControl/>
              <w:jc w:val="center"/>
              <w:rPr>
                <w:rFonts w:hint="eastAsia" w:ascii="仿宋" w:hAnsi="仿宋" w:eastAsia="仿宋" w:cs="仿宋"/>
                <w:kern w:val="0"/>
                <w:sz w:val="24"/>
              </w:rPr>
            </w:pPr>
            <w:r>
              <w:rPr>
                <w:rFonts w:hint="eastAsia" w:ascii="仿宋" w:hAnsi="仿宋" w:eastAsia="仿宋" w:cs="仿宋"/>
                <w:kern w:val="0"/>
                <w:sz w:val="24"/>
              </w:rPr>
              <w:t>　</w:t>
            </w:r>
          </w:p>
        </w:tc>
      </w:tr>
      <w:tr w14:paraId="50D77D3C">
        <w:tblPrEx>
          <w:tblCellMar>
            <w:top w:w="0" w:type="dxa"/>
            <w:left w:w="108" w:type="dxa"/>
            <w:bottom w:w="0" w:type="dxa"/>
            <w:right w:w="108" w:type="dxa"/>
          </w:tblCellMar>
        </w:tblPrEx>
        <w:trPr>
          <w:trHeight w:val="880" w:hRule="atLeast"/>
        </w:trPr>
        <w:tc>
          <w:tcPr>
            <w:tcW w:w="2271" w:type="pct"/>
            <w:gridSpan w:val="2"/>
            <w:tcBorders>
              <w:top w:val="single" w:color="auto" w:sz="4" w:space="0"/>
              <w:left w:val="single" w:color="auto" w:sz="8" w:space="0"/>
              <w:bottom w:val="nil"/>
              <w:right w:val="nil"/>
            </w:tcBorders>
            <w:noWrap w:val="0"/>
            <w:vAlign w:val="top"/>
          </w:tcPr>
          <w:p w14:paraId="1DB2B0C1">
            <w:pPr>
              <w:widowControl/>
              <w:jc w:val="left"/>
              <w:rPr>
                <w:rFonts w:hint="eastAsia" w:ascii="仿宋" w:hAnsi="仿宋" w:eastAsia="仿宋" w:cs="仿宋"/>
                <w:kern w:val="0"/>
                <w:sz w:val="24"/>
              </w:rPr>
            </w:pPr>
            <w:r>
              <w:rPr>
                <w:rFonts w:hint="eastAsia" w:ascii="仿宋" w:hAnsi="仿宋" w:eastAsia="仿宋" w:cs="仿宋"/>
                <w:kern w:val="0"/>
                <w:sz w:val="24"/>
              </w:rPr>
              <w:t xml:space="preserve">  供货单位：（盖章）</w:t>
            </w:r>
          </w:p>
        </w:tc>
        <w:tc>
          <w:tcPr>
            <w:tcW w:w="2729" w:type="pct"/>
            <w:gridSpan w:val="2"/>
            <w:tcBorders>
              <w:top w:val="single" w:color="auto" w:sz="4" w:space="0"/>
              <w:left w:val="single" w:color="auto" w:sz="4" w:space="0"/>
              <w:bottom w:val="nil"/>
              <w:right w:val="single" w:color="000000" w:sz="8" w:space="0"/>
            </w:tcBorders>
            <w:noWrap w:val="0"/>
            <w:vAlign w:val="top"/>
          </w:tcPr>
          <w:p w14:paraId="18C0A068">
            <w:pPr>
              <w:widowControl/>
              <w:jc w:val="left"/>
              <w:rPr>
                <w:rFonts w:hint="eastAsia" w:ascii="仿宋" w:hAnsi="仿宋" w:eastAsia="仿宋" w:cs="仿宋"/>
                <w:kern w:val="0"/>
                <w:sz w:val="24"/>
              </w:rPr>
            </w:pPr>
            <w:r>
              <w:rPr>
                <w:rFonts w:hint="eastAsia" w:ascii="仿宋" w:hAnsi="仿宋" w:eastAsia="仿宋" w:cs="仿宋"/>
                <w:kern w:val="0"/>
                <w:sz w:val="24"/>
              </w:rPr>
              <w:t xml:space="preserve">   使用单位验收意见：（盖章）</w:t>
            </w:r>
          </w:p>
          <w:p w14:paraId="7C6376A3">
            <w:pPr>
              <w:rPr>
                <w:rFonts w:hint="eastAsia" w:ascii="仿宋" w:hAnsi="仿宋" w:eastAsia="仿宋" w:cs="仿宋"/>
                <w:sz w:val="24"/>
              </w:rPr>
            </w:pPr>
          </w:p>
        </w:tc>
      </w:tr>
      <w:tr w14:paraId="5E04B3CA">
        <w:tblPrEx>
          <w:tblCellMar>
            <w:top w:w="0" w:type="dxa"/>
            <w:left w:w="108" w:type="dxa"/>
            <w:bottom w:w="0" w:type="dxa"/>
            <w:right w:w="108" w:type="dxa"/>
          </w:tblCellMar>
        </w:tblPrEx>
        <w:trPr>
          <w:trHeight w:val="480" w:hRule="atLeast"/>
        </w:trPr>
        <w:tc>
          <w:tcPr>
            <w:tcW w:w="922" w:type="pct"/>
            <w:tcBorders>
              <w:top w:val="nil"/>
              <w:left w:val="single" w:color="auto" w:sz="8" w:space="0"/>
              <w:bottom w:val="nil"/>
              <w:right w:val="nil"/>
            </w:tcBorders>
            <w:noWrap/>
            <w:vAlign w:val="center"/>
          </w:tcPr>
          <w:p w14:paraId="21B633A1">
            <w:pPr>
              <w:widowControl/>
              <w:jc w:val="center"/>
              <w:rPr>
                <w:rFonts w:hint="eastAsia" w:ascii="仿宋" w:hAnsi="仿宋" w:eastAsia="仿宋" w:cs="仿宋"/>
                <w:kern w:val="0"/>
                <w:sz w:val="24"/>
              </w:rPr>
            </w:pPr>
            <w:r>
              <w:rPr>
                <w:rFonts w:hint="eastAsia" w:ascii="仿宋" w:hAnsi="仿宋" w:eastAsia="仿宋" w:cs="仿宋"/>
                <w:kern w:val="0"/>
                <w:sz w:val="24"/>
              </w:rPr>
              <w:t xml:space="preserve"> 签字：</w:t>
            </w:r>
          </w:p>
        </w:tc>
        <w:tc>
          <w:tcPr>
            <w:tcW w:w="1349" w:type="pct"/>
            <w:tcBorders>
              <w:top w:val="nil"/>
              <w:left w:val="nil"/>
              <w:bottom w:val="nil"/>
              <w:right w:val="nil"/>
            </w:tcBorders>
            <w:noWrap/>
            <w:vAlign w:val="center"/>
          </w:tcPr>
          <w:p w14:paraId="5834FF99">
            <w:pPr>
              <w:widowControl/>
              <w:jc w:val="center"/>
              <w:rPr>
                <w:rFonts w:hint="eastAsia" w:ascii="仿宋" w:hAnsi="仿宋" w:eastAsia="仿宋" w:cs="仿宋"/>
                <w:kern w:val="0"/>
                <w:sz w:val="24"/>
              </w:rPr>
            </w:pPr>
          </w:p>
        </w:tc>
        <w:tc>
          <w:tcPr>
            <w:tcW w:w="1481" w:type="pct"/>
            <w:tcBorders>
              <w:top w:val="nil"/>
              <w:left w:val="single" w:color="auto" w:sz="4" w:space="0"/>
              <w:bottom w:val="nil"/>
              <w:right w:val="nil"/>
            </w:tcBorders>
            <w:noWrap/>
            <w:vAlign w:val="center"/>
          </w:tcPr>
          <w:p w14:paraId="0DB94AB6">
            <w:pPr>
              <w:widowControl/>
              <w:jc w:val="center"/>
              <w:rPr>
                <w:rFonts w:hint="eastAsia" w:ascii="仿宋" w:hAnsi="仿宋" w:eastAsia="仿宋" w:cs="仿宋"/>
                <w:kern w:val="0"/>
                <w:sz w:val="24"/>
              </w:rPr>
            </w:pPr>
            <w:r>
              <w:rPr>
                <w:rFonts w:hint="eastAsia" w:ascii="仿宋" w:hAnsi="仿宋" w:eastAsia="仿宋" w:cs="仿宋"/>
                <w:kern w:val="0"/>
                <w:sz w:val="24"/>
              </w:rPr>
              <w:t>签字：</w:t>
            </w:r>
          </w:p>
        </w:tc>
        <w:tc>
          <w:tcPr>
            <w:tcW w:w="1248" w:type="pct"/>
            <w:tcBorders>
              <w:top w:val="nil"/>
              <w:left w:val="nil"/>
              <w:bottom w:val="nil"/>
              <w:right w:val="single" w:color="auto" w:sz="8" w:space="0"/>
            </w:tcBorders>
            <w:noWrap w:val="0"/>
            <w:vAlign w:val="top"/>
          </w:tcPr>
          <w:p w14:paraId="28A19967">
            <w:pPr>
              <w:widowControl/>
              <w:jc w:val="left"/>
              <w:rPr>
                <w:rFonts w:hint="eastAsia" w:ascii="仿宋" w:hAnsi="仿宋" w:eastAsia="仿宋" w:cs="仿宋"/>
                <w:kern w:val="0"/>
                <w:sz w:val="24"/>
              </w:rPr>
            </w:pPr>
            <w:r>
              <w:rPr>
                <w:rFonts w:hint="eastAsia" w:ascii="仿宋" w:hAnsi="仿宋" w:eastAsia="仿宋" w:cs="仿宋"/>
                <w:kern w:val="0"/>
                <w:sz w:val="24"/>
              </w:rPr>
              <w:t>　</w:t>
            </w:r>
          </w:p>
        </w:tc>
      </w:tr>
      <w:tr w14:paraId="2C665E1D">
        <w:tblPrEx>
          <w:tblCellMar>
            <w:top w:w="0" w:type="dxa"/>
            <w:left w:w="108" w:type="dxa"/>
            <w:bottom w:w="0" w:type="dxa"/>
            <w:right w:w="108" w:type="dxa"/>
          </w:tblCellMar>
        </w:tblPrEx>
        <w:trPr>
          <w:trHeight w:val="78" w:hRule="atLeast"/>
        </w:trPr>
        <w:tc>
          <w:tcPr>
            <w:tcW w:w="922" w:type="pct"/>
            <w:tcBorders>
              <w:top w:val="nil"/>
              <w:left w:val="single" w:color="auto" w:sz="8" w:space="0"/>
              <w:bottom w:val="single" w:color="auto" w:sz="4" w:space="0"/>
              <w:right w:val="nil"/>
            </w:tcBorders>
            <w:noWrap/>
            <w:vAlign w:val="center"/>
          </w:tcPr>
          <w:p w14:paraId="2D32780C">
            <w:pPr>
              <w:widowControl/>
              <w:jc w:val="left"/>
              <w:rPr>
                <w:rFonts w:hint="eastAsia" w:ascii="仿宋" w:hAnsi="仿宋" w:eastAsia="仿宋" w:cs="仿宋"/>
                <w:kern w:val="0"/>
                <w:sz w:val="22"/>
                <w:szCs w:val="22"/>
              </w:rPr>
            </w:pPr>
            <w:r>
              <w:rPr>
                <w:rFonts w:hint="eastAsia" w:ascii="仿宋" w:hAnsi="仿宋" w:eastAsia="仿宋" w:cs="仿宋"/>
                <w:kern w:val="0"/>
                <w:sz w:val="22"/>
                <w:szCs w:val="22"/>
              </w:rPr>
              <w:t>　</w:t>
            </w:r>
          </w:p>
        </w:tc>
        <w:tc>
          <w:tcPr>
            <w:tcW w:w="1349" w:type="pct"/>
            <w:tcBorders>
              <w:top w:val="nil"/>
              <w:left w:val="nil"/>
              <w:bottom w:val="single" w:color="auto" w:sz="4" w:space="0"/>
              <w:right w:val="nil"/>
            </w:tcBorders>
            <w:noWrap w:val="0"/>
            <w:vAlign w:val="bottom"/>
          </w:tcPr>
          <w:p w14:paraId="54847C7F">
            <w:pPr>
              <w:widowControl/>
              <w:jc w:val="right"/>
              <w:rPr>
                <w:rFonts w:hint="eastAsia" w:ascii="仿宋" w:hAnsi="仿宋" w:eastAsia="仿宋" w:cs="仿宋"/>
                <w:kern w:val="0"/>
                <w:sz w:val="22"/>
                <w:szCs w:val="22"/>
              </w:rPr>
            </w:pPr>
            <w:r>
              <w:rPr>
                <w:rFonts w:hint="eastAsia" w:ascii="仿宋" w:hAnsi="仿宋" w:eastAsia="仿宋" w:cs="仿宋"/>
                <w:kern w:val="0"/>
                <w:sz w:val="22"/>
                <w:szCs w:val="22"/>
              </w:rPr>
              <w:t>年     月   日</w:t>
            </w:r>
          </w:p>
        </w:tc>
        <w:tc>
          <w:tcPr>
            <w:tcW w:w="1481" w:type="pct"/>
            <w:tcBorders>
              <w:top w:val="nil"/>
              <w:left w:val="single" w:color="auto" w:sz="4" w:space="0"/>
              <w:bottom w:val="single" w:color="auto" w:sz="4" w:space="0"/>
              <w:right w:val="nil"/>
            </w:tcBorders>
            <w:noWrap/>
            <w:vAlign w:val="center"/>
          </w:tcPr>
          <w:p w14:paraId="0ACE5B04">
            <w:pPr>
              <w:widowControl/>
              <w:jc w:val="left"/>
              <w:rPr>
                <w:rFonts w:hint="eastAsia" w:ascii="仿宋" w:hAnsi="仿宋" w:eastAsia="仿宋" w:cs="仿宋"/>
                <w:kern w:val="0"/>
                <w:sz w:val="22"/>
                <w:szCs w:val="22"/>
              </w:rPr>
            </w:pPr>
            <w:r>
              <w:rPr>
                <w:rFonts w:hint="eastAsia" w:ascii="仿宋" w:hAnsi="仿宋" w:eastAsia="仿宋" w:cs="仿宋"/>
                <w:kern w:val="0"/>
                <w:sz w:val="22"/>
                <w:szCs w:val="22"/>
              </w:rPr>
              <w:t>　</w:t>
            </w:r>
          </w:p>
        </w:tc>
        <w:tc>
          <w:tcPr>
            <w:tcW w:w="1248" w:type="pct"/>
            <w:tcBorders>
              <w:top w:val="nil"/>
              <w:left w:val="nil"/>
              <w:bottom w:val="single" w:color="auto" w:sz="4" w:space="0"/>
              <w:right w:val="single" w:color="auto" w:sz="8" w:space="0"/>
            </w:tcBorders>
            <w:noWrap w:val="0"/>
            <w:vAlign w:val="bottom"/>
          </w:tcPr>
          <w:p w14:paraId="2CFD3562">
            <w:pPr>
              <w:widowControl/>
              <w:jc w:val="right"/>
              <w:rPr>
                <w:rFonts w:hint="eastAsia" w:ascii="仿宋" w:hAnsi="仿宋" w:eastAsia="仿宋" w:cs="仿宋"/>
                <w:kern w:val="0"/>
                <w:sz w:val="22"/>
                <w:szCs w:val="22"/>
              </w:rPr>
            </w:pPr>
            <w:r>
              <w:rPr>
                <w:rFonts w:hint="eastAsia" w:ascii="仿宋" w:hAnsi="仿宋" w:eastAsia="仿宋" w:cs="仿宋"/>
                <w:kern w:val="0"/>
                <w:sz w:val="22"/>
                <w:szCs w:val="22"/>
              </w:rPr>
              <w:t>年   月   日</w:t>
            </w:r>
          </w:p>
        </w:tc>
      </w:tr>
      <w:tr w14:paraId="6A53DE94">
        <w:tblPrEx>
          <w:tblCellMar>
            <w:top w:w="0" w:type="dxa"/>
            <w:left w:w="108" w:type="dxa"/>
            <w:bottom w:w="0" w:type="dxa"/>
            <w:right w:w="108" w:type="dxa"/>
          </w:tblCellMar>
        </w:tblPrEx>
        <w:trPr>
          <w:trHeight w:val="603" w:hRule="atLeast"/>
        </w:trPr>
        <w:tc>
          <w:tcPr>
            <w:tcW w:w="5000" w:type="pct"/>
            <w:gridSpan w:val="4"/>
            <w:tcBorders>
              <w:top w:val="single" w:color="auto" w:sz="4" w:space="0"/>
              <w:left w:val="single" w:color="auto" w:sz="8" w:space="0"/>
              <w:bottom w:val="single" w:color="auto" w:sz="4" w:space="0"/>
              <w:right w:val="single" w:color="000000" w:sz="8" w:space="0"/>
            </w:tcBorders>
            <w:noWrap/>
            <w:vAlign w:val="center"/>
          </w:tcPr>
          <w:p w14:paraId="5CA2BB92">
            <w:pPr>
              <w:widowControl/>
              <w:jc w:val="center"/>
              <w:rPr>
                <w:rFonts w:hint="eastAsia" w:ascii="仿宋" w:hAnsi="仿宋" w:eastAsia="仿宋" w:cs="仿宋"/>
                <w:kern w:val="0"/>
                <w:sz w:val="22"/>
                <w:szCs w:val="22"/>
              </w:rPr>
            </w:pPr>
            <w:r>
              <w:rPr>
                <w:rFonts w:hint="eastAsia" w:ascii="仿宋" w:hAnsi="仿宋" w:eastAsia="仿宋" w:cs="仿宋"/>
                <w:kern w:val="0"/>
                <w:sz w:val="22"/>
                <w:szCs w:val="22"/>
              </w:rPr>
              <w:t>采购内容</w:t>
            </w:r>
          </w:p>
        </w:tc>
      </w:tr>
      <w:tr w14:paraId="6D4B92A3">
        <w:tblPrEx>
          <w:tblCellMar>
            <w:top w:w="0" w:type="dxa"/>
            <w:left w:w="108" w:type="dxa"/>
            <w:bottom w:w="0" w:type="dxa"/>
            <w:right w:w="108" w:type="dxa"/>
          </w:tblCellMar>
        </w:tblPrEx>
        <w:trPr>
          <w:trHeight w:val="1975" w:hRule="atLeast"/>
        </w:trPr>
        <w:tc>
          <w:tcPr>
            <w:tcW w:w="5000" w:type="pct"/>
            <w:gridSpan w:val="4"/>
            <w:tcBorders>
              <w:top w:val="single" w:color="auto" w:sz="4" w:space="0"/>
              <w:left w:val="single" w:color="auto" w:sz="8" w:space="0"/>
              <w:bottom w:val="single" w:color="auto" w:sz="8" w:space="0"/>
              <w:right w:val="single" w:color="000000" w:sz="8" w:space="0"/>
            </w:tcBorders>
            <w:noWrap w:val="0"/>
            <w:vAlign w:val="top"/>
          </w:tcPr>
          <w:p w14:paraId="4F10B539">
            <w:pPr>
              <w:widowControl/>
              <w:jc w:val="center"/>
              <w:rPr>
                <w:rFonts w:hint="eastAsia" w:ascii="仿宋" w:hAnsi="仿宋" w:eastAsia="仿宋" w:cs="仿宋"/>
                <w:kern w:val="0"/>
                <w:sz w:val="28"/>
                <w:szCs w:val="28"/>
              </w:rPr>
            </w:pPr>
            <w:r>
              <w:rPr>
                <w:rFonts w:hint="eastAsia" w:ascii="仿宋" w:hAnsi="仿宋" w:eastAsia="仿宋" w:cs="仿宋"/>
                <w:kern w:val="0"/>
                <w:sz w:val="28"/>
                <w:szCs w:val="28"/>
              </w:rPr>
              <w:t>采购内容请列明品目、规格、型号、数量、单价、总价</w:t>
            </w:r>
          </w:p>
        </w:tc>
      </w:tr>
    </w:tbl>
    <w:p w14:paraId="2018204E">
      <w:bookmarkStart w:id="10" w:name="_GoBack"/>
      <w:bookmarkEnd w:id="1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FA2D1D"/>
    <w:rsid w:val="1EFA2D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黑体" w:hAnsi="黑体" w:eastAsia="黑体" w:cs="黑体"/>
      <w:sz w:val="16"/>
      <w:szCs w:val="16"/>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2026-04-22T06:20:00Z</dcterms:created>
  <dc:creator>叶子</dc:creator>
  <cp:lastModifiedBy>叶子</cp:lastModifiedBy>
  <dcterms:modified xsi:type="dcterms:W3CDTF">2026-04-22T06:20:28Z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2D1661084F4742AFBD01904F68041511_11</vt:lpwstr>
  </property>
  <property fmtid="{D5CDD505-2E9C-101B-9397-08002B2CF9AE}" pid="4" name="KSOTemplateDocerSaveRecord">
    <vt:lpwstr>eyJoZGlkIjoiZjE1YjQ4NWY2MWE2Y2ZiNzE4NTU1MjQ3YTY1ZWQwZjAiLCJ1c2VySWQiOiIzMjkyNDM1OTcifQ==</vt:lpwstr>
  </property>
</Properties>
</file>