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版本号：政采-渭南市-2026-00082、SCZB2026-ZB-0090-220260422001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飞利浦Incisive64排CT维保服务项目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政采-渭南市-2026-00082、SCZB2026-ZB-0090-2</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飞利浦Incisive64排CT维保服务项目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政采-渭南市-2026-00082、SCZB2026-ZB-0090-2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飞利浦Incisive64排CT维保服务项目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渭南市中心医院飞利浦 Incisive 64排CT维保服务项目，整机保修服务（含球管，探测器及原厂后处理工作站软、硬件，不含高压注射器、稳压电源等其他第三方设备）。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王嘉辉、熊磊、刘艳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银行账号：102861559624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渭南市中心医院飞利浦 Incisive 64排CT维保服务项目，整机保修服务（含球管，探测器及原厂后处理工作站软、硬件，不含高压注射器、稳压电源等其他第三方设备）。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飞利浦 Incisive 64排CT维保服务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标的名称：飞利浦 Incisive 64排CT维保服务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一、项目名称</w:t>
            </w:r>
            <w:r>
              <w:rPr>
                <w:rFonts w:ascii="仿宋_GB2312" w:hAnsi="仿宋_GB2312" w:cs="仿宋_GB2312" w:eastAsia="仿宋_GB2312"/>
              </w:rPr>
              <w:t>;飞利浦Incisive 64排CT维保采购</w:t>
            </w:r>
          </w:p>
          <w:p>
            <w:pPr>
              <w:pStyle w:val="null3"/>
            </w:pPr>
            <w:r>
              <w:rPr>
                <w:rFonts w:ascii="仿宋_GB2312" w:hAnsi="仿宋_GB2312" w:cs="仿宋_GB2312" w:eastAsia="仿宋_GB2312"/>
                <w:b/>
              </w:rPr>
              <w:t>二、设备型号</w:t>
            </w:r>
            <w:r>
              <w:rPr>
                <w:rFonts w:ascii="仿宋_GB2312" w:hAnsi="仿宋_GB2312" w:cs="仿宋_GB2312" w:eastAsia="仿宋_GB2312"/>
              </w:rPr>
              <w:t>：Incisive</w:t>
            </w:r>
          </w:p>
          <w:p>
            <w:pPr>
              <w:pStyle w:val="null3"/>
            </w:pPr>
            <w:r>
              <w:rPr>
                <w:rFonts w:ascii="仿宋_GB2312" w:hAnsi="仿宋_GB2312" w:cs="仿宋_GB2312" w:eastAsia="仿宋_GB2312"/>
                <w:b/>
              </w:rPr>
              <w:t>三、维保服务范围</w:t>
            </w:r>
            <w:r>
              <w:rPr>
                <w:rFonts w:ascii="仿宋_GB2312" w:hAnsi="仿宋_GB2312" w:cs="仿宋_GB2312" w:eastAsia="仿宋_GB2312"/>
              </w:rPr>
              <w:t>：整机保修服务（含球管，探测器及原厂后处理工作站软、硬件，不含高压注射器、稳压电源等其他第三方设备）；</w:t>
            </w:r>
          </w:p>
          <w:p>
            <w:pPr>
              <w:pStyle w:val="null3"/>
            </w:pPr>
            <w:r>
              <w:rPr>
                <w:rFonts w:ascii="仿宋_GB2312" w:hAnsi="仿宋_GB2312" w:cs="仿宋_GB2312" w:eastAsia="仿宋_GB2312"/>
                <w:b/>
              </w:rPr>
              <w:t>四、保修期限</w:t>
            </w:r>
            <w:r>
              <w:rPr>
                <w:rFonts w:ascii="仿宋_GB2312" w:hAnsi="仿宋_GB2312" w:cs="仿宋_GB2312" w:eastAsia="仿宋_GB2312"/>
              </w:rPr>
              <w:t>：3年；</w:t>
            </w:r>
          </w:p>
          <w:p>
            <w:pPr>
              <w:pStyle w:val="null3"/>
            </w:pPr>
            <w:r>
              <w:rPr>
                <w:rFonts w:ascii="仿宋_GB2312" w:hAnsi="仿宋_GB2312" w:cs="仿宋_GB2312" w:eastAsia="仿宋_GB2312"/>
                <w:b/>
              </w:rPr>
              <w:t>五、服务要求</w:t>
            </w:r>
            <w:r>
              <w:rPr>
                <w:rFonts w:ascii="仿宋_GB2312" w:hAnsi="仿宋_GB2312" w:cs="仿宋_GB2312" w:eastAsia="仿宋_GB2312"/>
              </w:rPr>
              <w:t>：</w:t>
            </w:r>
          </w:p>
          <w:p>
            <w:pPr>
              <w:pStyle w:val="null3"/>
            </w:pPr>
            <w:r>
              <w:rPr>
                <w:rFonts w:ascii="仿宋_GB2312" w:hAnsi="仿宋_GB2312" w:cs="仿宋_GB2312" w:eastAsia="仿宋_GB2312"/>
              </w:rPr>
              <w:t>★1、保证球管供应服务：提供原厂全新球管（球管型号：vMRC performance），进口报关单，提供其相关的海关商检及报关手续。球管更换时必须同时更换配套的全新高压电缆，服务期内至少更换一支原厂全新球管；</w:t>
            </w:r>
          </w:p>
          <w:p>
            <w:pPr>
              <w:pStyle w:val="null3"/>
            </w:pPr>
            <w:r>
              <w:rPr>
                <w:rFonts w:ascii="仿宋_GB2312" w:hAnsi="仿宋_GB2312" w:cs="仿宋_GB2312" w:eastAsia="仿宋_GB2312"/>
              </w:rPr>
              <w:t>2、服务期内需提供全天24小时技术电话支持（含周末）；</w:t>
            </w:r>
          </w:p>
          <w:p>
            <w:pPr>
              <w:pStyle w:val="null3"/>
            </w:pPr>
            <w:r>
              <w:rPr>
                <w:rFonts w:ascii="仿宋_GB2312" w:hAnsi="仿宋_GB2312" w:cs="仿宋_GB2312" w:eastAsia="仿宋_GB2312"/>
              </w:rPr>
              <w:t>3、响应时间：接到报修电话1小时内提供电话支持，若远程无法解决，须在24小时内到达现场进行维修，排除故障；</w:t>
            </w:r>
          </w:p>
          <w:p>
            <w:pPr>
              <w:pStyle w:val="null3"/>
            </w:pPr>
            <w:r>
              <w:rPr>
                <w:rFonts w:ascii="仿宋_GB2312" w:hAnsi="仿宋_GB2312" w:cs="仿宋_GB2312" w:eastAsia="仿宋_GB2312"/>
              </w:rPr>
              <w:t>4、开机率要求：≥95%，以365天计算，即每年因设备故障原因造成的停机不超过18个日历日，如未达到，需通过1：5延长服务期补足，即以停机天数的5倍天数补足；</w:t>
            </w:r>
          </w:p>
          <w:p>
            <w:pPr>
              <w:pStyle w:val="null3"/>
            </w:pPr>
            <w:r>
              <w:rPr>
                <w:rFonts w:ascii="仿宋_GB2312" w:hAnsi="仿宋_GB2312" w:cs="仿宋_GB2312" w:eastAsia="仿宋_GB2312"/>
              </w:rPr>
              <w:t>5、专职工程师：≥2名，提供近6个月的社保证明和培训证明文件；</w:t>
            </w:r>
          </w:p>
          <w:p>
            <w:pPr>
              <w:pStyle w:val="null3"/>
            </w:pPr>
            <w:r>
              <w:rPr>
                <w:rFonts w:ascii="仿宋_GB2312" w:hAnsi="仿宋_GB2312" w:cs="仿宋_GB2312" w:eastAsia="仿宋_GB2312"/>
              </w:rPr>
              <w:t>6、备件库：在省内或国内设有专业的备件库，并提供证明材料；</w:t>
            </w:r>
          </w:p>
          <w:p>
            <w:pPr>
              <w:pStyle w:val="null3"/>
            </w:pPr>
            <w:r>
              <w:rPr>
                <w:rFonts w:ascii="仿宋_GB2312" w:hAnsi="仿宋_GB2312" w:cs="仿宋_GB2312" w:eastAsia="仿宋_GB2312"/>
              </w:rPr>
              <w:t>★7、零备件供应：更换的零部件为原厂全新备件，维修后的技术参数需达到原厂技术要求（提供承诺书）；</w:t>
            </w:r>
          </w:p>
          <w:p>
            <w:pPr>
              <w:pStyle w:val="null3"/>
            </w:pPr>
            <w:r>
              <w:rPr>
                <w:rFonts w:ascii="仿宋_GB2312" w:hAnsi="仿宋_GB2312" w:cs="仿宋_GB2312" w:eastAsia="仿宋_GB2312"/>
              </w:rPr>
              <w:t>8、一年内至少提供每季度一次，共至少4次定期维护，每次维护保养完成后，3个工作日内须向采购人提供书面维护保养报告；</w:t>
            </w:r>
          </w:p>
          <w:p>
            <w:pPr>
              <w:pStyle w:val="null3"/>
            </w:pPr>
            <w:r>
              <w:rPr>
                <w:rFonts w:ascii="仿宋_GB2312" w:hAnsi="仿宋_GB2312" w:cs="仿宋_GB2312" w:eastAsia="仿宋_GB2312"/>
              </w:rPr>
              <w:t>9、服务期内，若维修更换配件时引发CT机其他新故障时，由投标人自行解决故障及配件，费用由投标人承担；</w:t>
            </w:r>
          </w:p>
          <w:p>
            <w:pPr>
              <w:pStyle w:val="null3"/>
            </w:pPr>
            <w:r>
              <w:rPr>
                <w:rFonts w:ascii="仿宋_GB2312" w:hAnsi="仿宋_GB2312" w:cs="仿宋_GB2312" w:eastAsia="仿宋_GB2312"/>
              </w:rPr>
              <w:t>10、在保修期内负责向招标人提供4人次临床应用交流和工程师维修胜任力培训。</w:t>
            </w:r>
          </w:p>
          <w:p>
            <w:pPr>
              <w:pStyle w:val="null3"/>
            </w:pPr>
            <w:r>
              <w:rPr>
                <w:rFonts w:ascii="仿宋_GB2312" w:hAnsi="仿宋_GB2312" w:cs="仿宋_GB2312" w:eastAsia="仿宋_GB2312"/>
              </w:rPr>
              <w:t>11、保修期内负责向招标人提供一次移机服务，按照招标人要求将该设备搬迁到指定地点，并恢复原有功能，费用由服务方承担。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按照双方约定执行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合同签订生效后，乙方进行维保工作。服务期满3个月后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服务期满一年后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服务期满两年后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三年服务期结束后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结果公示后，中标单位须提供纸质版文件一正一副（纸质版文件须与上传至陕西省政府采购网后台的电子版文件保持一致）送到陕西省采购招标有限责任公司（地址：西安市雁塔区锦业路都市之门C座9层招标二部 西安市雁塔区锦业路都市之门C座9层招标二部联系电话：029-88481271）。 2、若投标人采用保函形式缴纳投标保证金，请投标人在开标前一天告知代理机构并将保函扫描件发送到代理机构负责人邮箱（157567909@qq.com）。 3、异常低价审查 3.1评审中出现下列情形之一的，评标委员会应当启动异常低价投标审查程序：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3.2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4.支持本国产品。根据《国务院办公厅关于在政府采购中实施本国产品标准及相关政策的通知》（国办发﹝2025﹞34号）要求，政府采购货物项目和服务项目中涉及的货物，既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或财政部会同有关部门规定的有关证明文件，《声明函》或有关证明文件符合要求的，该产品视为本国产品。本项目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投标保证金支付凭证或担保函.docx 业绩一览表.docx 服务内容及服务邀请应答表 中小企业声明函 商务应答表 投标函 残疾人福利性单位声明函 服务方案 标的清单 投标文件封面 资格证明材料.docx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投标人投标报价未出现选择性报价，未超出采购预算和最高限价。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投标文件的服务期、服务地点、保修期限、付款方式、合同等商务内容符合招标文件要求。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投标保证金支付凭证或担保函.docx 业绩一览表.docx 服务内容及服务邀请应答表 中小企业声明函 商务应答表 投标函 残疾人福利性单位声明函 服务方案 标的清单 投标文件封面 资格证明材料.docx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开标一览表 投标保证金支付凭证或担保函.docx 业绩一览表.docx 服务内容及服务邀请应答表 中小企业声明函 商务应答表 投标函 残疾人福利性单位声明函 服务方案 标的清单 投标文件封面 资格证明材料.docx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投标人提供本次维保机型同品牌保修服务合同的业绩（2023年1月至今，以合同签订时间为准并提供完整的合同复印件加盖公章），每提供一份得2分，满分10分。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投标人根据采购需求提供本项目的总体维保服务方案，包括但不限于：①保修期内总体服务计划；②设备整机保修方案；③其他第三方设备维护保修方案；④售后增值服务及合理化建议。评审标准:上述每项内容无缺陷得4分，满分为16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投标人针对采购需求提供以下承诺： ①服务期内提供全天24小时技术电话支持（含周末）； ②接到报修电话后须在1小时内提供电话支持，若远程无法解决，须在24小时内到达现场进行维修，排除故障； ③开机率要求：≥95%，以365天计算，即每年因设备故障原因造成的停机不超过18个日历日，如未达到，需通过1：5延长服务期补足，即以停机天数的5倍天数补足； ④一年内至少提供每季度一次，共至少4次定期维护，每次维护保养完成后，3个工作日内须向采购人提供书面维护保养报告； ⑤服务期内，若维修更换配件时引发CT机其他新故障时，由投标人自行解决故障及配件，费用由服务方承担； ⑥在保修期内负责向招标人提供至少4人次临床应用交流和工程师维修胜任力培训； ⑦保修期内向招标人提供一次移机服务，按照招标人要求将该设备搬迁到指定地点，并恢复原有功能，费用由服务方承担。 评标标准：1.承诺内容完整且优于采购需求计6分； 2.承诺内容完整且基本能达到招标人要求计4分； 3.承诺内容不完整且无法达到招标人要求计1分；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投标人针对本项目具有可行的技术培训方案，培训采购人指定的技术人员和管理人员，制定培训课程计划表，列出每种培训的次数、方式和目标，培训内容应包括：①培训计划及培训人员能力证明；②培训沟通配合及能力提升保障方案；③产品操作维护方法；④故障排查方法。评审标准:上述每项内容无缺陷得2分，满分为8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投标人针对本项目的实施具有专业的服务团队，提供具体的服务人员名单，包括但不限于项目负责人、专职工程人员等，提供人员身份信息、工作经验及年限证明材料、专业证书、工作职务及职称等内容，评标小组根据响应程度进行自主赋分： ①人员配置结构优异，专业能力强，计5分； ②人员配置一般，专业能力较强，计3分; ③人员配置差，专业能力弱，计1分。 未提供不得分。 注：至少提供两名专职工程师且提供近6个月的社保证明和培训证明文件，未提供或提供不全不得分。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根据投标人针对本项目提出的应急预案，方案各部分内容全面详细、阐述条理清晰详尽、符合磋商文件要求。方案内容包含①突发事件情况分析；②应急响应时间及应对措施。 评审标准:上述每项方案内容无缺陷得2分，满分为4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投标人针对本项目具有科学完善的保障措施，内容包括：①针对开机率提供完善可行的保障方案；②提供备品备件保障措施，不限于保证球管供应服务、备品备件配送对接方案、产品渠道证明材料等；③定期维护实施计划及巡检方案；④移机服务方案。 评审标准：上述每项内容无缺陷得4分，满分为16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零备件储备及维修工具配备情况</w:t>
            </w:r>
          </w:p>
        </w:tc>
        <w:tc>
          <w:tcPr>
            <w:tcW w:type="dxa" w:w="2492"/>
          </w:tcPr>
          <w:p>
            <w:pPr>
              <w:pStyle w:val="null3"/>
            </w:pPr>
            <w:r>
              <w:rPr>
                <w:rFonts w:ascii="仿宋_GB2312" w:hAnsi="仿宋_GB2312" w:cs="仿宋_GB2312" w:eastAsia="仿宋_GB2312"/>
              </w:rPr>
              <w:t>①提供备件库照片以及备件库房租赁合同得2分； ②提供“所有更换的零部件为原厂备件承诺书”得2分； ③提供的维修工具专业性高，种类齐全，完全满足要求得1分。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 30。注：本项目为非专门面向中小企业采购，当投标人为小微企业或监狱企业或残疾人福利性单位时可享受价格扣除15%，投标人须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本项目为非专门面向中小企业采购，当投标人为小微企业或监狱企业或残疾人福利性单位时可享受价格扣除15%，投标人须如实填写《中小企业声明函》或《残疾人福利性单位声明函》或《监狱企业的证明文件》。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