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版本号：ZCSP-渭南市-2026-00071、XHLJZC-WN2026-02820260423001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病房提升改造建设项目EPC总承包及零星基建改造项目造价咨询服务采购项目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ZCSP-渭南市-2026-00071、XHLJZC-WN2026-028</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病房提升改造建设项目EPC总承包及零星基建改造项目造价咨询服务采购项目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ZCSP-渭南市-2026-00071、XHLJZC-WN2026-028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病房提升改造建设项目EPC总承包及零星基建改造项目造价咨询服务采购项目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病房提升改造建设项目EPC总承包及零星基建改造项目造价咨询服务，详见磋商文件。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采购包1（渭南市中心医院病房提升改造建设项目EPC总承包及零星基建改造项目造价咨询服务采购项目）：属于专门面向中小企业采购。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8、资质条件：拟派项目负责人应具备有效的一级注册造价工程师执业资格且在本单位注册。</w:t>
      </w:r>
    </w:p>
    <w:p>
      <w:pPr>
        <w:pStyle w:val="null3"/>
      </w:pPr>
      <w:r>
        <w:rPr>
          <w:rFonts w:ascii="仿宋_GB2312" w:hAnsi="仿宋_GB2312" w:cs="仿宋_GB2312" w:eastAsia="仿宋_GB2312"/>
        </w:rPr>
        <w:t>9、声明函：提供《中小企业声明函》；监狱企业应提供监狱企业相关资格证明材料；残疾人福利性单位应提供《残疾人福利性单位声明函》。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赵温馨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029-82528801、029-89183511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现行的国家标准或国家行政部门颁布的法律法规、规章制度等，是项目验收的另一个重要依据。没有国家标准的，可以参考行业标准。主要按采购文件和投标文件验收。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联系人：赵温馨</w:t>
      </w:r>
    </w:p>
    <w:p>
      <w:pPr>
        <w:pStyle w:val="null3"/>
      </w:pPr>
      <w:r>
        <w:rPr>
          <w:rFonts w:ascii="仿宋_GB2312" w:hAnsi="仿宋_GB2312" w:cs="仿宋_GB2312" w:eastAsia="仿宋_GB2312"/>
        </w:rPr>
        <w:t>联系电话：029-82528801、029-89183511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病房提升改造建设项目EPC总承包及零星基建改造项目造价咨询服务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病房提升改造建设项目EPC总承包及零星基建改造造价咨询服务项目项目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标的名称：病房提升改造建设项目EPC总承包及零星基建改造造价咨询服务项目项目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一、招标范围及造价咨询服务内容</w:t>
            </w:r>
          </w:p>
          <w:p>
            <w:pPr>
              <w:pStyle w:val="null3"/>
            </w:pPr>
            <w:r>
              <w:rPr>
                <w:rFonts w:ascii="仿宋_GB2312" w:hAnsi="仿宋_GB2312" w:cs="仿宋_GB2312" w:eastAsia="仿宋_GB2312"/>
              </w:rPr>
              <w:t>本项目为EPC总承包模式下全过程造价咨询服务及零星基建改造造价咨询服务两部分：</w:t>
            </w:r>
          </w:p>
          <w:p>
            <w:pPr>
              <w:pStyle w:val="null3"/>
            </w:pPr>
            <w:r>
              <w:rPr>
                <w:rFonts w:ascii="仿宋_GB2312" w:hAnsi="仿宋_GB2312" w:cs="仿宋_GB2312" w:eastAsia="仿宋_GB2312"/>
              </w:rPr>
              <w:t>1.我院申报的渭南市中心医院病房提升改造建设项目，已办理完成项目前期所有审批手续，并入国家重大项目库，总概算1.123亿元，施工范围为：门（急）诊住院综合楼、内科综合楼4至5层、住院四部及部分门诊医技科室进行提升改造，改造总建筑面积44695.50㎡，主要实施内容包括结构、室内装饰装修工程、给排水、电气照明、弱电工程、暖通空调、电梯及消防工程改造，同时购置并安装病房呼叫系统及医用气体系统及零星改造工程。EPC总承包项目最高限价500000.00元。</w:t>
            </w:r>
          </w:p>
          <w:p>
            <w:pPr>
              <w:pStyle w:val="null3"/>
            </w:pPr>
            <w:r>
              <w:rPr>
                <w:rFonts w:ascii="仿宋_GB2312" w:hAnsi="仿宋_GB2312" w:cs="仿宋_GB2312" w:eastAsia="仿宋_GB2312"/>
              </w:rPr>
              <w:t>2.零星基建改造项目内容包括医院院内各医疗用房的零星基建修缮、改造及附属工程等项目，总概算2000万元。零星基建改造项目最高限价250000.00元。</w:t>
            </w:r>
          </w:p>
          <w:p>
            <w:pPr>
              <w:pStyle w:val="null3"/>
            </w:pPr>
            <w:r>
              <w:rPr>
                <w:rFonts w:ascii="仿宋_GB2312" w:hAnsi="仿宋_GB2312" w:cs="仿宋_GB2312" w:eastAsia="仿宋_GB2312"/>
              </w:rPr>
              <w:t>造价咨询服务内容</w:t>
            </w:r>
          </w:p>
          <w:p>
            <w:pPr>
              <w:pStyle w:val="null3"/>
            </w:pPr>
            <w:r>
              <w:rPr>
                <w:rFonts w:ascii="仿宋_GB2312" w:hAnsi="仿宋_GB2312" w:cs="仿宋_GB2312" w:eastAsia="仿宋_GB2312"/>
              </w:rPr>
              <w:t>（一）EPC实施阶段全过程造价控制</w:t>
            </w:r>
          </w:p>
          <w:p>
            <w:pPr>
              <w:pStyle w:val="null3"/>
            </w:pPr>
            <w:r>
              <w:rPr>
                <w:rFonts w:ascii="仿宋_GB2312" w:hAnsi="仿宋_GB2312" w:cs="仿宋_GB2312" w:eastAsia="仿宋_GB2312"/>
              </w:rPr>
              <w:t>1.审核EPC深化设计图纸施工图预算，实施限额设计管控。</w:t>
            </w:r>
          </w:p>
          <w:p>
            <w:pPr>
              <w:pStyle w:val="null3"/>
            </w:pPr>
            <w:r>
              <w:rPr>
                <w:rFonts w:ascii="仿宋_GB2312" w:hAnsi="仿宋_GB2312" w:cs="仿宋_GB2312" w:eastAsia="仿宋_GB2312"/>
              </w:rPr>
              <w:t>2.对EPC范围内工程变更、技术核定、现场签证进行事前审核、事中控制、事后确认。</w:t>
            </w:r>
          </w:p>
          <w:p>
            <w:pPr>
              <w:pStyle w:val="null3"/>
            </w:pPr>
            <w:r>
              <w:rPr>
                <w:rFonts w:ascii="仿宋_GB2312" w:hAnsi="仿宋_GB2312" w:cs="仿宋_GB2312" w:eastAsia="仿宋_GB2312"/>
              </w:rPr>
              <w:t>3.主要材料、设备、专业工程市场询价、核价、认价。</w:t>
            </w:r>
          </w:p>
          <w:p>
            <w:pPr>
              <w:pStyle w:val="null3"/>
            </w:pPr>
            <w:r>
              <w:rPr>
                <w:rFonts w:ascii="仿宋_GB2312" w:hAnsi="仿宋_GB2312" w:cs="仿宋_GB2312" w:eastAsia="仿宋_GB2312"/>
              </w:rPr>
              <w:t>4.审核EPC工程进度款、预付款、进度支付申请。</w:t>
            </w:r>
          </w:p>
          <w:p>
            <w:pPr>
              <w:pStyle w:val="null3"/>
            </w:pPr>
            <w:r>
              <w:rPr>
                <w:rFonts w:ascii="仿宋_GB2312" w:hAnsi="仿宋_GB2312" w:cs="仿宋_GB2312" w:eastAsia="仿宋_GB2312"/>
              </w:rPr>
              <w:t>5.动态成本跟踪、造价预警、月度成本分析报告。</w:t>
            </w:r>
          </w:p>
          <w:p>
            <w:pPr>
              <w:pStyle w:val="null3"/>
            </w:pPr>
            <w:r>
              <w:rPr>
                <w:rFonts w:ascii="仿宋_GB2312" w:hAnsi="仿宋_GB2312" w:cs="仿宋_GB2312" w:eastAsia="仿宋_GB2312"/>
              </w:rPr>
              <w:t>6.索赔与反索赔造价审核、洽商费用审核。</w:t>
            </w:r>
          </w:p>
          <w:p>
            <w:pPr>
              <w:pStyle w:val="null3"/>
            </w:pPr>
            <w:r>
              <w:rPr>
                <w:rFonts w:ascii="仿宋_GB2312" w:hAnsi="仿宋_GB2312" w:cs="仿宋_GB2312" w:eastAsia="仿宋_GB2312"/>
              </w:rPr>
              <w:t>7.隐蔽工程、现场工程量抽查复核。</w:t>
            </w:r>
          </w:p>
          <w:p>
            <w:pPr>
              <w:pStyle w:val="null3"/>
            </w:pPr>
            <w:r>
              <w:rPr>
                <w:rFonts w:ascii="仿宋_GB2312" w:hAnsi="仿宋_GB2312" w:cs="仿宋_GB2312" w:eastAsia="仿宋_GB2312"/>
              </w:rPr>
              <w:t>（二）EPC竣工结算与审计阶段</w:t>
            </w:r>
          </w:p>
          <w:p>
            <w:pPr>
              <w:pStyle w:val="null3"/>
            </w:pPr>
            <w:r>
              <w:rPr>
                <w:rFonts w:ascii="仿宋_GB2312" w:hAnsi="仿宋_GB2312" w:cs="仿宋_GB2312" w:eastAsia="仿宋_GB2312"/>
              </w:rPr>
              <w:t>1.完整审核EPC竣工结算资料，开展结算审核。</w:t>
            </w:r>
          </w:p>
          <w:p>
            <w:pPr>
              <w:pStyle w:val="null3"/>
            </w:pPr>
            <w:r>
              <w:rPr>
                <w:rFonts w:ascii="仿宋_GB2312" w:hAnsi="仿宋_GB2312" w:cs="仿宋_GB2312" w:eastAsia="仿宋_GB2312"/>
              </w:rPr>
              <w:t>2.与EPC单位对账、谈判、出具结算审核定案表。</w:t>
            </w:r>
          </w:p>
          <w:p>
            <w:pPr>
              <w:pStyle w:val="null3"/>
            </w:pPr>
            <w:r>
              <w:rPr>
                <w:rFonts w:ascii="仿宋_GB2312" w:hAnsi="仿宋_GB2312" w:cs="仿宋_GB2312" w:eastAsia="仿宋_GB2312"/>
              </w:rPr>
              <w:t>3.编制结算审核报告，提供结算明细、对比分析、核减说明。</w:t>
            </w:r>
          </w:p>
          <w:p>
            <w:pPr>
              <w:pStyle w:val="null3"/>
            </w:pPr>
            <w:r>
              <w:rPr>
                <w:rFonts w:ascii="仿宋_GB2312" w:hAnsi="仿宋_GB2312" w:cs="仿宋_GB2312" w:eastAsia="仿宋_GB2312"/>
              </w:rPr>
              <w:t>4.配合财政评审、第三方审计、上级审计、绩效评价工作。</w:t>
            </w:r>
          </w:p>
          <w:p>
            <w:pPr>
              <w:pStyle w:val="null3"/>
            </w:pPr>
            <w:r>
              <w:rPr>
                <w:rFonts w:ascii="仿宋_GB2312" w:hAnsi="仿宋_GB2312" w:cs="仿宋_GB2312" w:eastAsia="仿宋_GB2312"/>
              </w:rPr>
              <w:t>（三）零星基建改造造价咨询服务</w:t>
            </w:r>
          </w:p>
          <w:p>
            <w:pPr>
              <w:pStyle w:val="null3"/>
            </w:pPr>
            <w:r>
              <w:rPr>
                <w:rFonts w:ascii="仿宋_GB2312" w:hAnsi="仿宋_GB2312" w:cs="仿宋_GB2312" w:eastAsia="仿宋_GB2312"/>
              </w:rPr>
              <w:t>1.按单项/批次提供清单、预算、控制价编制。</w:t>
            </w:r>
          </w:p>
          <w:p>
            <w:pPr>
              <w:pStyle w:val="null3"/>
            </w:pPr>
            <w:r>
              <w:rPr>
                <w:rFonts w:ascii="仿宋_GB2312" w:hAnsi="仿宋_GB2312" w:cs="仿宋_GB2312" w:eastAsia="仿宋_GB2312"/>
              </w:rPr>
              <w:t>2.现场核量、变更签证审核、进度款审核。</w:t>
            </w:r>
          </w:p>
          <w:p>
            <w:pPr>
              <w:pStyle w:val="null3"/>
            </w:pPr>
            <w:r>
              <w:rPr>
                <w:rFonts w:ascii="仿宋_GB2312" w:hAnsi="仿宋_GB2312" w:cs="仿宋_GB2312" w:eastAsia="仿宋_GB2312"/>
              </w:rPr>
              <w:t>3.竣工结算审核、台账管理、年度造价分析报告。</w:t>
            </w:r>
          </w:p>
          <w:p>
            <w:pPr>
              <w:pStyle w:val="null3"/>
            </w:pPr>
            <w:r>
              <w:rPr>
                <w:rFonts w:ascii="仿宋_GB2312" w:hAnsi="仿宋_GB2312" w:cs="仿宋_GB2312" w:eastAsia="仿宋_GB2312"/>
              </w:rPr>
              <w:t>4.应急维修工程快速造价服务。</w:t>
            </w:r>
          </w:p>
          <w:p>
            <w:pPr>
              <w:pStyle w:val="null3"/>
            </w:pPr>
            <w:r>
              <w:rPr>
                <w:rFonts w:ascii="仿宋_GB2312" w:hAnsi="仿宋_GB2312" w:cs="仿宋_GB2312" w:eastAsia="仿宋_GB2312"/>
              </w:rPr>
              <w:t>（四）其他服务</w:t>
            </w:r>
          </w:p>
          <w:p>
            <w:pPr>
              <w:pStyle w:val="null3"/>
            </w:pPr>
            <w:r>
              <w:rPr>
                <w:rFonts w:ascii="仿宋_GB2312" w:hAnsi="仿宋_GB2312" w:cs="仿宋_GB2312" w:eastAsia="仿宋_GB2312"/>
              </w:rPr>
              <w:t>1.配备固定项目团队，专人驻场（至少一人24小时驻场）。</w:t>
            </w:r>
          </w:p>
          <w:p>
            <w:pPr>
              <w:pStyle w:val="null3"/>
            </w:pPr>
            <w:r>
              <w:rPr>
                <w:rFonts w:ascii="仿宋_GB2312" w:hAnsi="仿宋_GB2312" w:cs="仿宋_GB2312" w:eastAsia="仿宋_GB2312"/>
              </w:rPr>
              <w:t>2.提供周报、月报、专题报告、造价总结。</w:t>
            </w:r>
          </w:p>
          <w:p>
            <w:pPr>
              <w:pStyle w:val="null3"/>
            </w:pPr>
            <w:r>
              <w:rPr>
                <w:rFonts w:ascii="仿宋_GB2312" w:hAnsi="仿宋_GB2312" w:cs="仿宋_GB2312" w:eastAsia="仿宋_GB2312"/>
              </w:rPr>
              <w:t>3.完成档案整理、电子归档、资料移交。</w:t>
            </w:r>
          </w:p>
          <w:p>
            <w:pPr>
              <w:pStyle w:val="null3"/>
            </w:pPr>
            <w:r>
              <w:rPr>
                <w:rFonts w:ascii="仿宋_GB2312" w:hAnsi="仿宋_GB2312" w:cs="仿宋_GB2312" w:eastAsia="仿宋_GB2312"/>
              </w:rPr>
              <w:t>4.严格遵守医院保密、廉洁、安全生产及现场管理制度。</w:t>
            </w:r>
          </w:p>
          <w:p>
            <w:pPr>
              <w:pStyle w:val="null3"/>
            </w:pPr>
            <w:r>
              <w:rPr>
                <w:rFonts w:ascii="仿宋_GB2312" w:hAnsi="仿宋_GB2312" w:cs="仿宋_GB2312" w:eastAsia="仿宋_GB2312"/>
              </w:rPr>
              <w:t>二、技术服务要求</w:t>
            </w:r>
          </w:p>
          <w:p>
            <w:pPr>
              <w:pStyle w:val="null3"/>
            </w:pPr>
            <w:r>
              <w:rPr>
                <w:rFonts w:ascii="仿宋_GB2312" w:hAnsi="仿宋_GB2312" w:cs="仿宋_GB2312" w:eastAsia="仿宋_GB2312"/>
              </w:rPr>
              <w:t>1.严格按照EPC合同约定的计价原则、取费标准、价格调整机制开展造价工作。</w:t>
            </w:r>
          </w:p>
          <w:p>
            <w:pPr>
              <w:pStyle w:val="null3"/>
            </w:pPr>
            <w:r>
              <w:rPr>
                <w:rFonts w:ascii="仿宋_GB2312" w:hAnsi="仿宋_GB2312" w:cs="仿宋_GB2312" w:eastAsia="仿宋_GB2312"/>
              </w:rPr>
              <w:t>2.变更、签证坚持先审批、后实施，严禁先做后批。</w:t>
            </w:r>
          </w:p>
          <w:p>
            <w:pPr>
              <w:pStyle w:val="null3"/>
            </w:pPr>
            <w:r>
              <w:rPr>
                <w:rFonts w:ascii="仿宋_GB2312" w:hAnsi="仿宋_GB2312" w:cs="仿宋_GB2312" w:eastAsia="仿宋_GB2312"/>
              </w:rPr>
              <w:t>3.成果文件编制规范、签章齐全、依据充分、核减清晰。</w:t>
            </w:r>
          </w:p>
          <w:p>
            <w:pPr>
              <w:pStyle w:val="null3"/>
            </w:pPr>
            <w:r>
              <w:rPr>
                <w:rFonts w:ascii="仿宋_GB2312" w:hAnsi="仿宋_GB2312" w:cs="仿宋_GB2312" w:eastAsia="仿宋_GB2312"/>
              </w:rPr>
              <w:t>4.响应时限：</w:t>
            </w:r>
          </w:p>
          <w:p>
            <w:pPr>
              <w:pStyle w:val="null3"/>
            </w:pPr>
            <w:r>
              <w:rPr>
                <w:rFonts w:ascii="仿宋_GB2312" w:hAnsi="仿宋_GB2312" w:cs="仿宋_GB2312" w:eastAsia="仿宋_GB2312"/>
              </w:rPr>
              <w:t>-清单/控制价：资料齐全后7—15日历天内完成</w:t>
            </w:r>
          </w:p>
          <w:p>
            <w:pPr>
              <w:pStyle w:val="null3"/>
            </w:pPr>
            <w:r>
              <w:rPr>
                <w:rFonts w:ascii="仿宋_GB2312" w:hAnsi="仿宋_GB2312" w:cs="仿宋_GB2312" w:eastAsia="仿宋_GB2312"/>
              </w:rPr>
              <w:t>-变更/签证：24小时内响应，3个工作日内审核完毕</w:t>
            </w:r>
          </w:p>
          <w:p>
            <w:pPr>
              <w:pStyle w:val="null3"/>
            </w:pPr>
            <w:r>
              <w:rPr>
                <w:rFonts w:ascii="仿宋_GB2312" w:hAnsi="仿宋_GB2312" w:cs="仿宋_GB2312" w:eastAsia="仿宋_GB2312"/>
              </w:rPr>
              <w:t>-进度款/结算：5—15个工作日内完成审核</w:t>
            </w:r>
          </w:p>
          <w:p>
            <w:pPr>
              <w:pStyle w:val="null3"/>
            </w:pPr>
            <w:r>
              <w:rPr>
                <w:rFonts w:ascii="仿宋_GB2312" w:hAnsi="仿宋_GB2312" w:cs="仿宋_GB2312" w:eastAsia="仿宋_GB2312"/>
              </w:rPr>
              <w:t>5.全过程造价数据可追溯、可核查、可审计。</w:t>
            </w:r>
          </w:p>
          <w:p>
            <w:pPr>
              <w:pStyle w:val="null3"/>
            </w:pPr>
            <w:r>
              <w:rPr>
                <w:rFonts w:ascii="仿宋_GB2312" w:hAnsi="仿宋_GB2312" w:cs="仿宋_GB2312" w:eastAsia="仿宋_GB2312"/>
              </w:rPr>
              <w:t>三、成果文件要求</w:t>
            </w:r>
          </w:p>
          <w:p>
            <w:pPr>
              <w:pStyle w:val="null3"/>
            </w:pPr>
            <w:r>
              <w:rPr>
                <w:rFonts w:ascii="仿宋_GB2312" w:hAnsi="仿宋_GB2312" w:cs="仿宋_GB2312" w:eastAsia="仿宋_GB2312"/>
              </w:rPr>
              <w:t>1.估算、概算、预算、控制价审核报告</w:t>
            </w:r>
          </w:p>
          <w:p>
            <w:pPr>
              <w:pStyle w:val="null3"/>
            </w:pPr>
            <w:r>
              <w:rPr>
                <w:rFonts w:ascii="仿宋_GB2312" w:hAnsi="仿宋_GB2312" w:cs="仿宋_GB2312" w:eastAsia="仿宋_GB2312"/>
              </w:rPr>
              <w:t>2.EPC清标报告、招标报价分析报告</w:t>
            </w:r>
          </w:p>
          <w:p>
            <w:pPr>
              <w:pStyle w:val="null3"/>
            </w:pPr>
            <w:r>
              <w:rPr>
                <w:rFonts w:ascii="仿宋_GB2312" w:hAnsi="仿宋_GB2312" w:cs="仿宋_GB2312" w:eastAsia="仿宋_GB2312"/>
              </w:rPr>
              <w:t>3.变更审核单、签证审核单、材料认价单</w:t>
            </w:r>
          </w:p>
          <w:p>
            <w:pPr>
              <w:pStyle w:val="null3"/>
            </w:pPr>
            <w:r>
              <w:rPr>
                <w:rFonts w:ascii="仿宋_GB2312" w:hAnsi="仿宋_GB2312" w:cs="仿宋_GB2312" w:eastAsia="仿宋_GB2312"/>
              </w:rPr>
              <w:t>4.进度款审核报告、动态成本分析表</w:t>
            </w:r>
          </w:p>
          <w:p>
            <w:pPr>
              <w:pStyle w:val="null3"/>
            </w:pPr>
            <w:r>
              <w:rPr>
                <w:rFonts w:ascii="仿宋_GB2312" w:hAnsi="仿宋_GB2312" w:cs="仿宋_GB2312" w:eastAsia="仿宋_GB2312"/>
              </w:rPr>
              <w:t>5.竣工结算审核书、定案表、审核汇总表</w:t>
            </w:r>
          </w:p>
          <w:p>
            <w:pPr>
              <w:pStyle w:val="null3"/>
            </w:pPr>
            <w:r>
              <w:rPr>
                <w:rFonts w:ascii="仿宋_GB2312" w:hAnsi="仿宋_GB2312" w:cs="仿宋_GB2312" w:eastAsia="仿宋_GB2312"/>
              </w:rPr>
              <w:t>6.全套纸质版+电子版成果文件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合同签订之日起三年（其中EPC项目，自合同签订之日起，至EPC工程竣工验收、结算终审完成、审计完毕、资料移交归档止）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施工图预算及过程清单审核完成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全过程造价服务完成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结算审核完毕并配合终审完成</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服务的，应当承担由此对供应商造成的损失。3、供应商不能按期完成服务的，每逾期1日，应向采购人赔付合同总价的0.1%作为违约金。4、供应商所提供的服务不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拟派项目负责人应具备有效的一级注册造价工程师执业资格且在本单位注册。</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①响应报价低于全部通过符合性审查供应商响应报价平均值50%的，即响应报价＜全部通过符合性审查供应商响应报价平均值×50%； ②响应报价低于通过符合性审查的次低报价供应商响应报价50%的，即响应报价＜通过符合性审查的次低报价供应商响应报价×50%； ③响应报价低于采购项目最高限价45%的，即响应报价＜采购项目最高限价×45%； ④磋商小组基于专业判断，认为供应商报价过低，有可能影响产品质量或者不能诚信履约的其他情形。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 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磋商保证金缴纳凭证及退还申请表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供应商提供针对本项目的总体实施方案，内容包括： ①对项目的理解； ②咨询工作流程； ③各阶段实施方案。 2、评审标准 ①完整性：方案须全面，对评审内容中的各项要求有详细描述及说明； ②可实施性：切合本项目实际情况，实施步骤清晰、合理； ③针对性：方案能够紧扣项目实际情况，内容科学合理。 3、赋分标准 ①对项目的理解：每完全满足一项评审标准得1分，满分3分； ②咨询工作流程：每完全满足一项评审标准得1分，满分3分； ③各阶段实施方案：每完全满足一项评审标准得1分，满分3分。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项目负责人具有高级职称得3分；中级职称得1分；中级以下不得分。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工作人员组成情况</w:t>
            </w:r>
          </w:p>
        </w:tc>
        <w:tc>
          <w:tcPr>
            <w:tcW w:type="dxa" w:w="2492"/>
          </w:tcPr>
          <w:p>
            <w:pPr>
              <w:pStyle w:val="null3"/>
            </w:pPr>
            <w:r>
              <w:rPr>
                <w:rFonts w:ascii="仿宋_GB2312" w:hAnsi="仿宋_GB2312" w:cs="仿宋_GB2312" w:eastAsia="仿宋_GB2312"/>
              </w:rPr>
              <w:t>1、评审内容 供应商提供拟派本项目工作人员组成情况（有具体成员名单，包括姓名、工作经验、工作职责、资质证书、联系方式等）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咨询服务质量保证措施</w:t>
            </w:r>
          </w:p>
        </w:tc>
        <w:tc>
          <w:tcPr>
            <w:tcW w:type="dxa" w:w="2492"/>
          </w:tcPr>
          <w:p>
            <w:pPr>
              <w:pStyle w:val="null3"/>
            </w:pPr>
            <w:r>
              <w:rPr>
                <w:rFonts w:ascii="仿宋_GB2312" w:hAnsi="仿宋_GB2312" w:cs="仿宋_GB2312" w:eastAsia="仿宋_GB2312"/>
              </w:rPr>
              <w:t>1、评审内容 供应商提供针对本项目的咨询服务质量保证措施，内容包括： ①对审计程序、方法及其他说明建立健全的质量控制体系； ②有质量目标无法实现时的惩罚措施。 2、评审标准 ①完整性：方案须全面，对评审内容中的各项要求有详细描述及说明； ②可实施性：切合本项目实际情况，实施步骤清晰、合理； ③针对性：方案能够紧扣项目实际情况，内容科学合理。 3、赋分标准 ①对审计程序、方法及其他说明建立健全的质量控制体系：每完全满足一项评审标准得1分，满分3分； ②有质量目标无法实现时的惩罚措施：每完全满足一项评审标准得1分，满分3分。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工作进度安排及保障措施</w:t>
            </w:r>
          </w:p>
        </w:tc>
        <w:tc>
          <w:tcPr>
            <w:tcW w:type="dxa" w:w="2492"/>
          </w:tcPr>
          <w:p>
            <w:pPr>
              <w:pStyle w:val="null3"/>
            </w:pPr>
            <w:r>
              <w:rPr>
                <w:rFonts w:ascii="仿宋_GB2312" w:hAnsi="仿宋_GB2312" w:cs="仿宋_GB2312" w:eastAsia="仿宋_GB2312"/>
              </w:rPr>
              <w:t>1、评审内容 供应商提供针对本项目的工作进度安排及保障措施，内容包括： ①工作进度安排方案； ②工作进度保障措施。 2、评审标准 ①完整性：必须全面，对评审内容中的各项要求有详细描述； ②可实施性：切合本项目实际情况，提出步骤清晰、合理的内容； ③针对性：能紧扣项目实际情况，内容科学合理。 3、赋分标准 ①工作进度安排方案：每完全满足一项评审标准得1分，满分3分； ②工作进度保障措施：每完全满足一项评审标准得1分，满分3分。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咨询工作制度</w:t>
            </w:r>
          </w:p>
        </w:tc>
        <w:tc>
          <w:tcPr>
            <w:tcW w:type="dxa" w:w="2492"/>
          </w:tcPr>
          <w:p>
            <w:pPr>
              <w:pStyle w:val="null3"/>
            </w:pPr>
            <w:r>
              <w:rPr>
                <w:rFonts w:ascii="仿宋_GB2312" w:hAnsi="仿宋_GB2312" w:cs="仿宋_GB2312" w:eastAsia="仿宋_GB2312"/>
              </w:rPr>
              <w:t>1、评审内容 供应商提供针对本项目的咨询工作制度，内容包括： ①专业服务工作制度； ②管理规范工作制度。 2、评审标准 ①完整性：必须全面，对评审内容中的各项要求有详细描述； ②可实施性：切合本项目实际情况，提出步骤清晰、合理的内容； ③针对性：能紧扣项目实际情况，内容科学合理。 3、赋分标准 ①专业服务工作制度：每完全满足一项评审标准得1分，满分3分； ②管理规范工作制度：每完全满足一项评审标准得1分，满分3分。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合理化建议及增值服务</w:t>
            </w:r>
          </w:p>
        </w:tc>
        <w:tc>
          <w:tcPr>
            <w:tcW w:type="dxa" w:w="2492"/>
          </w:tcPr>
          <w:p>
            <w:pPr>
              <w:pStyle w:val="null3"/>
            </w:pPr>
            <w:r>
              <w:rPr>
                <w:rFonts w:ascii="仿宋_GB2312" w:hAnsi="仿宋_GB2312" w:cs="仿宋_GB2312" w:eastAsia="仿宋_GB2312"/>
              </w:rPr>
              <w:t>1、评审内容 供应商提供针对本项目的合理化建议及增值服务，内容包括： ①合理化建议； ②增值服务。 2、评审标准 ①完整性：必须全面，对评审内容中的各项要求有详细描述； ②可实施性：切合本项目实际情况，提出步骤清晰、合理的内容； ③针对性：能紧扣项目实际情况，内容科学合理。 3、赋分标准 ①合理化建议：每完全满足一项评审标准得1分，满分3分； ②增值服务：每完全满足一项评审标准得1分，满分3分。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1、评审内容 供应商提供项目实施过程中的档案管理措施，内容包括： ①档案收集； ②档案管理制度及措施。 2、评审标准 ①完整性：必须全面，对评审内容中的各项要求有详细描述； ②可实施性：切合本项目实际情况，提出步骤清晰、合理的内容； ③针对性：方案能紧扣项目实际情况，内容科学合理。 3、赋分标准 ①档案收集：每完全满足一项评审标准得1分，满分3分； ②档案管理制度及措施：每完全满足一项评审标准得1分，满分3分。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1、评审内容 供应商提供项目实施过程中的廉洁、保密措施，内容包括： ①廉洁从业； ②保密制度。 2、评审标准 ①完整性：必须全面，对评审内容中的各项要求有详细描述； ②可实施性：切合本项目实际情况，提出步骤清晰、合理的内容； ③针对性：方案能紧扣项目实际情况，内容科学合理。 3、赋分标准 ①廉洁从业：每完全满足一项评审标准得1分，满分3分； ②保密制度：每完全满足一项评审标准得1分，满分3分.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提供针对本项目的应急措施，项目实施过程中针对突发事件和重大业务时间节点的风险防范措施及应急突发事件的处理预案。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1、评审内容 提供针对本项目的重点难点分析及应对措施，内容包括： ①重点难点分析； ②应对措施。 2、评审标准 ①完整性：方案须全面，对评审内容中的各项要求有详细描述及说明； ②可实施性：切合本项目实际情况，实施步骤清晰、合理； ③针对性：方案能够紧扣项目实际情况，内容科学合理。 3、赋分标准 ①重点难点分析：每完全满足一项评审标准得1分，满分3分； ②应对措施：每完全满足一项评审标准得1分，满分3分。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供应商提供针对本项目提供具体的服务承诺，内容包括： ①后续工作承诺； ②服务体系及响应时间。 2、评审标准 ①完整性：承诺须全面，对评审内容中的各项要求有详细描述及说明； ②可实施性：切合本项目实际情况，步骤清晰、合理，操作性强； ③针对性：承诺能够紧扣项目实际情况，内容科学合理。 3、赋分标准 ①后续工作承诺：每完全满足一项评审标准得1分，满分3分； ②服务体系及响应时间：每完全满足一项评审标准得1分，满分3分。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详见附件：磋商保证金缴纳凭证及退还申请表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