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版本号：ZCSP-渭南市-2026-00080、XHLJZC-WN2026-03320260427001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餐厅提升改造项目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ZCSP-渭南市-2026-00080、XHLJZC-WN2026-033</w:t>
      </w:r>
      <w:r>
        <w:br/>
      </w:r>
      <w:r>
        <w:br/>
      </w:r>
      <w:r>
        <w:br/>
      </w:r>
    </w:p>
    <w:p>
      <w:pPr>
        <w:pStyle w:val="null3"/>
        <w:jc w:val="center"/>
        <w:outlineLvl w:val="2"/>
      </w:pPr>
      <w:r>
        <w:rPr>
          <w:rFonts w:ascii="仿宋_GB2312" w:hAnsi="仿宋_GB2312" w:cs="仿宋_GB2312" w:eastAsia="仿宋_GB2312"/>
          <w:sz w:val="28"/>
          <w:b/>
        </w:rPr>
        <w:t>渭南初级中学</w:t>
      </w:r>
    </w:p>
    <w:p>
      <w:pPr>
        <w:pStyle w:val="null3"/>
        <w:jc w:val="center"/>
        <w:outlineLvl w:val="2"/>
      </w:pPr>
      <w:r>
        <w:rPr>
          <w:rFonts w:ascii="仿宋_GB2312" w:hAnsi="仿宋_GB2312" w:cs="仿宋_GB2312" w:eastAsia="仿宋_GB2312"/>
          <w:sz w:val="28"/>
          <w:b/>
        </w:rPr>
        <w:t>西安欣华联建工程咨询有限公司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西安欣华联建工程咨询有限公司</w:t>
      </w:r>
      <w:r>
        <w:rPr>
          <w:rFonts w:ascii="仿宋_GB2312" w:hAnsi="仿宋_GB2312" w:cs="仿宋_GB2312" w:eastAsia="仿宋_GB2312"/>
        </w:rPr>
        <w:t>（以下简称“代理机构”）受</w:t>
      </w:r>
      <w:r>
        <w:rPr>
          <w:rFonts w:ascii="仿宋_GB2312" w:hAnsi="仿宋_GB2312" w:cs="仿宋_GB2312" w:eastAsia="仿宋_GB2312"/>
        </w:rPr>
        <w:t>渭南初级中学</w:t>
      </w:r>
      <w:r>
        <w:rPr>
          <w:rFonts w:ascii="仿宋_GB2312" w:hAnsi="仿宋_GB2312" w:cs="仿宋_GB2312" w:eastAsia="仿宋_GB2312"/>
        </w:rPr>
        <w:t>委托，拟对</w:t>
      </w:r>
      <w:r>
        <w:rPr>
          <w:rFonts w:ascii="仿宋_GB2312" w:hAnsi="仿宋_GB2312" w:cs="仿宋_GB2312" w:eastAsia="仿宋_GB2312"/>
        </w:rPr>
        <w:t>餐厅提升改造项目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ZCSP-渭南市-2026-00080、XHLJZC-WN2026-033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餐厅提升改造项目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餐厅提升改造，详见工程量清单。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采购包1（渭南初级中学餐厅提升改造项目）：属于专门面向中小企业采购。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1、具有独立承担民事责任的能力：供应商应具有独立承担民事责任的能力且具备向采购人提供相关工程的企业法人、其他组织，企业法人应提供统一社会信用代码的营业执照；其他组织应提供合法证明文件；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2、供应商授权合法的人员参加投标全过程：法定代表人授权委托书（附法定代表人身份证复印件）及被授权委托人身份证（法定代表人参加磋商只须提供法定代表人身份证）；</w:t>
      </w:r>
    </w:p>
    <w:p>
      <w:pPr>
        <w:pStyle w:val="null3"/>
      </w:pPr>
      <w:r>
        <w:rPr>
          <w:rFonts w:ascii="仿宋_GB2312" w:hAnsi="仿宋_GB2312" w:cs="仿宋_GB2312" w:eastAsia="仿宋_GB2312"/>
        </w:rPr>
        <w:t>3、具有良好的商业信誉和健全的财务会计制度：提供2024年度经审计并通过注册会计师行业统一监管平台备案赋码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2025年1月以来任意3个月依法缴纳税收和社会保险的相关证明材料；注：依法免税或不需要缴纳社会保险的供应商提供相关部门出具的证明文件。（以税款所属时期为准）</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7、投标承诺：单位负责人为同一人或者存在直接控股、管理关系的不同供应商，不得参加同一合同项下的政府采购活动；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8、资质条件：（8.1）提供建筑工程施工总承包三级及以上资质； （8.2）提供有效的安全生产许可证； （8.3）项目经理须具备建筑工程专业二级及以上注册建造师证书，有效的安全生产考核合格证书（建安B证），提供无在建项目承诺；</w:t>
      </w:r>
    </w:p>
    <w:p>
      <w:pPr>
        <w:pStyle w:val="null3"/>
      </w:pPr>
      <w:r>
        <w:rPr>
          <w:rFonts w:ascii="仿宋_GB2312" w:hAnsi="仿宋_GB2312" w:cs="仿宋_GB2312" w:eastAsia="仿宋_GB2312"/>
        </w:rPr>
        <w:t>9、声明函：提供《中小企业声明函》；监狱企业应提供监狱企业相关资格证明材料；残疾人福利性单位应提供《残疾人福利性单位声明函》。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陕西省渭南市渭清路西体育馆北路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员校长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0913-3326000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西安欣华联建工程咨询有限公司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陕西省西安市高新区科技二路71号竹园天寰国际14层1404室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贾静雯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029-89182232、029-89183511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开户名称：西安欣华联建工程咨询有限公司</w:t>
            </w:r>
          </w:p>
          <w:p>
            <w:pPr>
              <w:pStyle w:val="null3"/>
            </w:pPr>
            <w:r>
              <w:rPr>
                <w:rFonts w:ascii="仿宋_GB2312" w:hAnsi="仿宋_GB2312" w:cs="仿宋_GB2312" w:eastAsia="仿宋_GB2312"/>
              </w:rPr>
              <w:t>开户银行：西安银行软件园支行</w:t>
            </w:r>
          </w:p>
          <w:p>
            <w:pPr>
              <w:pStyle w:val="null3"/>
            </w:pPr>
            <w:r>
              <w:rPr>
                <w:rFonts w:ascii="仿宋_GB2312" w:hAnsi="仿宋_GB2312" w:cs="仿宋_GB2312" w:eastAsia="仿宋_GB2312"/>
              </w:rPr>
              <w:t>银行账号：912011580000191348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原《国家计委关于印发&lt;招标代理服务收费管理暂行办法&gt;的通知》（计价格〔2002〕1980号）、《国家发展改革委办公厅关于招标代理服务收费有关问题的通知》（发改办价格〔2003〕857号）的规定标准执行，按差额定率累进法收取费用，100万以下按1.0%收取，100万-500万按0.7%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踏勘时间：2026-05-09 09:00:00</w:t>
            </w:r>
          </w:p>
          <w:p>
            <w:pPr>
              <w:pStyle w:val="null3"/>
              <w:ind w:firstLine="975"/>
            </w:pPr>
            <w:r>
              <w:rPr>
                <w:rFonts w:ascii="仿宋_GB2312" w:hAnsi="仿宋_GB2312" w:cs="仿宋_GB2312" w:eastAsia="仿宋_GB2312"/>
              </w:rPr>
              <w:t>踏勘地点：渭南初级中学校内</w:t>
            </w:r>
          </w:p>
          <w:p>
            <w:pPr>
              <w:pStyle w:val="null3"/>
              <w:ind w:firstLine="975"/>
            </w:pPr>
            <w:r>
              <w:rPr>
                <w:rFonts w:ascii="仿宋_GB2312" w:hAnsi="仿宋_GB2312" w:cs="仿宋_GB2312" w:eastAsia="仿宋_GB2312"/>
              </w:rPr>
              <w:t>联系人：员校长</w:t>
            </w:r>
          </w:p>
          <w:p>
            <w:pPr>
              <w:pStyle w:val="null3"/>
              <w:ind w:firstLine="975"/>
            </w:pPr>
            <w:r>
              <w:rPr>
                <w:rFonts w:ascii="仿宋_GB2312" w:hAnsi="仿宋_GB2312" w:cs="仿宋_GB2312" w:eastAsia="仿宋_GB2312"/>
              </w:rPr>
              <w:t>联系电话号码：0913-3326000</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渭南初级中学</w:t>
      </w:r>
      <w:r>
        <w:rPr>
          <w:rFonts w:ascii="仿宋_GB2312" w:hAnsi="仿宋_GB2312" w:cs="仿宋_GB2312" w:eastAsia="仿宋_GB2312"/>
        </w:rPr>
        <w:t>和</w:t>
      </w:r>
      <w:r>
        <w:rPr>
          <w:rFonts w:ascii="仿宋_GB2312" w:hAnsi="仿宋_GB2312" w:cs="仿宋_GB2312" w:eastAsia="仿宋_GB2312"/>
        </w:rPr>
        <w:t>西安欣华联建工程咨询有限公司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渭南初级中学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西安欣华联建工程咨询有限公司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西安欣华联建工程咨询有限公司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联系人：贾静雯</w:t>
      </w:r>
    </w:p>
    <w:p>
      <w:pPr>
        <w:pStyle w:val="null3"/>
      </w:pPr>
      <w:r>
        <w:rPr>
          <w:rFonts w:ascii="仿宋_GB2312" w:hAnsi="仿宋_GB2312" w:cs="仿宋_GB2312" w:eastAsia="仿宋_GB2312"/>
        </w:rPr>
        <w:t>联系电话：029-89182232、029-89183511</w:t>
      </w:r>
    </w:p>
    <w:p>
      <w:pPr>
        <w:pStyle w:val="null3"/>
      </w:pPr>
      <w:r>
        <w:rPr>
          <w:rFonts w:ascii="仿宋_GB2312" w:hAnsi="仿宋_GB2312" w:cs="仿宋_GB2312" w:eastAsia="仿宋_GB2312"/>
        </w:rPr>
        <w:t>地址：陕西省西安市高新区科技二路71号竹园天寰国际14层1404室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998,053.42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餐厅提升改造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标的名称：餐厅提升改造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合格（达到国家强制性合格标准）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1.工期：45日历天。 2.付款方式：合同签订完成后，支付合同总金额的40%，整个项目实施完成并经验收合格后支付至合同总金额的97%，剩余3%质保期满后一次性支付。 3.质保期：工程竣工验收合格之日起1年。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供应商应具有独立承担民事责任的能力且具备向采购人提供相关工程的企业法人、其他组织，企业法人应提供统一社会信用代码的营业执照；其他组织应提供合法证明文件；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法定代表人授权委托书（附法定代表人身份证复印件）及被授权委托人身份证（法定代表人参加磋商只须提供法定代表人身份证）；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提供2024年度经审计并通过注册会计师行业统一监管平台备案赋码的财务报告或开标前六个月内其基本账户银行出具的资信证明或财政部门认可的政府采购专业担保机构出具的担保函；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提供2025年1月以来任意3个月依法缴纳税收和社会保险的相关证明材料；注：依法免税或不需要缴纳社会保险的供应商提供相关部门出具的证明文件。（以税款所属时期为准）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（8.1）提供建筑工程施工总承包三级及以上资质； （8.2）提供有效的安全生产许可证； （8.3）项目经理须具备建筑工程专业二级及以上注册建造师证书，有效的安全生产考核合格证书（建安B证），提供无在建项目承诺；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提供《中小企业声明函》；监狱企业应提供监狱企业相关资格证明材料；残疾人福利性单位应提供《残疾人福利性单位声明函》。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评审中出现下列情形之一的，磋商小组应当启动异常低价响应审查程序： ①响应报价低于全部通过符合性审查供应商响应报价平均值50%的，即响应报价＜全部通过符合性审查供应商响应报价平均值×50%； ②响应报价低于通过符合性审查的次低报价供应商响应报价50%的，即响应报价＜通过符合性审查的次低报价供应商响应报价×50%； ③响应报价低于采购项目最高限价45%的，即响应报价＜采购项目最高限价×45%； ④磋商小组基于专业判断，认为供应商报价过低，有可能影响产品质量或者不能诚信履约的其他情形。 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 响应供应商不能提供书面说明、证明材料，或者提供的书面说明、证明材料不能证明其报价合理性的，磋商小组应当将其作为无效响应处理。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 （实质性要求）</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已标价工程量清单 中小企业声明函 磋商保证金缴纳凭证及退还申请表 商务要求响应表 响应文件封面 技术要求响应 政府采购供应商拒绝政府采购领域商业贿赂承诺书 残疾人福利性单位声明函 报价函 标的清单 供应商承诺书 响应函 业绩证明文件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 （实质性要求）</w:t>
            </w:r>
          </w:p>
        </w:tc>
        <w:tc>
          <w:tcPr>
            <w:tcW w:type="dxa" w:w="3322"/>
          </w:tcPr>
          <w:p>
            <w:pPr>
              <w:pStyle w:val="null3"/>
            </w:pPr>
            <w:r>
              <w:rPr>
                <w:rFonts w:ascii="仿宋_GB2312" w:hAnsi="仿宋_GB2312" w:cs="仿宋_GB2312" w:eastAsia="仿宋_GB2312"/>
              </w:rPr>
              <w:t>从提交竞争性磋商响应文件的截止之日起不少于90日历日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 （实质性要求）</w:t>
            </w:r>
          </w:p>
        </w:tc>
        <w:tc>
          <w:tcPr>
            <w:tcW w:type="dxa" w:w="3322"/>
          </w:tcPr>
          <w:p>
            <w:pPr>
              <w:pStyle w:val="null3"/>
            </w:pPr>
            <w:r>
              <w:rPr>
                <w:rFonts w:ascii="仿宋_GB2312" w:hAnsi="仿宋_GB2312" w:cs="仿宋_GB2312" w:eastAsia="仿宋_GB2312"/>
              </w:rPr>
              <w:t>（1）报价未超过本项目最高限价 （2）未出现选择性报价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 （实质性要求）</w:t>
            </w:r>
          </w:p>
        </w:tc>
        <w:tc>
          <w:tcPr>
            <w:tcW w:type="dxa" w:w="3322"/>
          </w:tcPr>
          <w:p>
            <w:pPr>
              <w:pStyle w:val="null3"/>
            </w:pPr>
            <w:r>
              <w:rPr>
                <w:rFonts w:ascii="仿宋_GB2312" w:hAnsi="仿宋_GB2312" w:cs="仿宋_GB2312" w:eastAsia="仿宋_GB2312"/>
              </w:rPr>
              <w:t>（1）符合商务、技术要求，不存在重大负偏离（2）未附有采购人不能接受的条件（3）符合磋商文件规定的其他实质性要求（4）未违反《中华人民共和国政府采购法》和其他相关法律、法规的规定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 商务要求响应表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商务要求</w:t>
            </w:r>
          </w:p>
        </w:tc>
        <w:tc>
          <w:tcPr>
            <w:tcW w:type="dxa" w:w="2492"/>
          </w:tcPr>
          <w:p>
            <w:pPr>
              <w:pStyle w:val="null3"/>
            </w:pPr>
            <w:r>
              <w:rPr>
                <w:rFonts w:ascii="仿宋_GB2312" w:hAnsi="仿宋_GB2312" w:cs="仿宋_GB2312" w:eastAsia="仿宋_GB2312"/>
              </w:rPr>
              <w:t>对商务要求完全响应竞争性磋商文件要求的得3分。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商务要求响应表</w:t>
            </w:r>
          </w:p>
        </w:tc>
      </w:tr>
      <w:tr>
        <w:tc>
          <w:tcPr>
            <w:tcW w:type="dxa" w:w="831"/>
            <w:vMerge/>
          </w:tcP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 ①施工目标； ②施工准备； ③施工平面布置与安排。 二、评审标准 1、完整性：方案必须全面，对评审内容中的各项要求有详细描述； 2、可实施性：切合本项目实际情况，提出步骤清晰、合理的方案； 3、针对性：方案能够紧扣项目实际情况，内容科学合理。 三、赋分标准 ①施工目标：每完全满足一个评审标准得1分，满分3分； ②施工准备：每完全满足一个评审标准得1分，满分3分； ③施工平面布置与安排：每完全满足一个评审标准得1分，满分3分。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技术要求响应</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 ①施工进度计划横道图： ②进度计划保证措施； ③工期保证措施。 二、评审标准 1、完整性：方案必须全面，对评审内容中的各项要求有详细描述； 2、可实施性：切合本项目实际情况，提出步骤清晰、合理的方案； 3、针对性：方案能够紧扣项目实际情况，内容科学合理。 三、赋分标准 ①施工进度计划横道图：每完全满足一个评审标准得1分，满分3分； ②进度计划保证措施：每完全满足一个评审标准得1分，满分3分； ③工期保证措施：每完全满足一个评审标准得1分，满分3分。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技术要求响应</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 供应商针对本项目编制完善的分部分项工程施工方案，内容包含： ①工程重难点及解决措施； ②分部分项工程施工方法； ③施工质量通病防治措施。 二、评审标准 1、完整性：方案必须全面，对评审内容中的各项要求有详细描述； 2、可实施性：切合本项目实际情况，提出步骤清晰、合理的方案； 3、针对性：方案能够紧扣项目实际情况，内容科学合理。 三、赋分标准 ①工程重难点及解决措施：每完全满足一个评审标准得1分，满分3分； ②分部分项工程施工方法：每完全满足一个评审标准得1分，满分3分； ③施工质量通病防治措施：每完全满足一个评审标准得1分，满分3分。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技术要求响应</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 ①质量目标管理体系； ②施工质量的检验制度； ③确保质量的技术组织措施； ④施工质量控制措施。 二、评审标准 1、完整性：方案必须全面，对评审内容中的各项要求有详细描述； 2、可实施性：切合本项目实际情况，提出步骤清晰、合理的方案； 3、针对性：方案能够紧扣项目实际情况，内容科学合理。 三、赋分标准 ①质量目标管理体系：每完全满足一个评审标准得0.5分，满分1.5分； ②施工质量的检验制度：每完全满足一个评审标准得0.5分，满分1.5分； ③确保质量的技术组织措施：每完全满足一个评审标准得0.5分，满分1.5分； ④施工质量控制措施：每完全满足一个评审标准得0.5分，满分1.5分。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技术要求响应</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供应商针对本项目编制完整的安全施工措施，内容包含： ①安全生产管理制度； ②安全施工措施； ③安全应急预案； ④安全生产教育。 二、评审标准 1、完整性：方案必须全面，对评审内容中的各项要求有详细描述； 2、可实施性：切合本项目实际情况，提出步骤清晰、合理的方案; 3、针对性：方案能够紧扣项目实际情况，内容科学合理。 三、赋分标准 ①安全生产管理制度：每完全满足一个评审标准得0.5分，满分1.5分； ②安全施工措施：每完全满足一个评审标准得0.5分，满分1.5分； ③安全应急预案：每完全满足一个评审标准得0.5分，满分1.5分； ④安全生产教育：每完全满足一个评审标准得0.5分，满分1.5分。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技术要求响应</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供应商针对本项目编制完整的文明施工措施，内容包含： ①文明施工管理目标及技术措施； ②文明施工现场管理：材料管理、防扰民措施。 二、评审标准 1、完整性：方案必须全面，对评审内容中的各项要求有详细描述； 2、可实施性：切合本项目实际情况，提出步骤清晰、合理的方案； 3、针对性：方案能够紧扣项目实际情况，内容科学合理。 三、赋分标准 ①文明施工管理目标及技术措施：每完全满足一个评审标准得0.5分，满分1.5分； ②文明施工现场管理：每完全满足一个评审标准得0.5分，满分1.5分。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技术要求响应</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一、评审内容 供应商针对本项目编制主要管理措施，内容包含： ①成品保护措施； ②季节性施工措施； ③消防保卫措施； ④环境保护措施。 二、评审标准 1、完整性：方案必须全面，对评审内容中的各项要求有详细描述； 2、可实施性：切合本项目实际情况，提出步骤清晰、合理的方案； 3、针对性：方案能够紧扣项目实际情况，内容科学合理。 三、赋分标准 ①成品保护措施：每完全满足一个评审标准得0.5分，满分1.5分； ②季节性施工措施：每完全满足一个评审标准得0.5分，满分1.5分； ③消防保卫措施：每完全满足一个评审标准得0.5分，满分1.5分； ④环境保护措施：每完全满足一个评审标准得0.5分，满分1.5分。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技术要求响应</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 ①管理机构的配备计划； ②组织机构的岗位职责。 二、评审标准 1、完整性：方案必须全面，对评审内容中的各项要求有详细描述； 2、可实施性：切合本项目实际情况，提出步骤清晰、合理的方案； 3、针对性：方案能够紧扣项目实际情况，内容科学合理。 三、赋分标准 ①管理机构的配备计划：每完全满足一个评审标准得0.5分，满分1.5分； ②组织机构的岗位职责：每完全满足一个评审标准得0.5分，满分1.5分。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技术要求响应</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提供2023年1月1日以来供应商类似项目的业绩合同（以合同签订日期为准），附业绩合同复印件加盖公章，每份2分；未提供不得分。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磋商文件要求且最终报价最低的供应商的价格为磋商基准价，其价格得分为满分。其他供应商的价格得分统一按照下列公式计算：磋商报价得分=（磋商基准价/最终磋商报价）×价格权值（40%）×100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详见附件：磋商保证金缴纳凭证及退还申请表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详见附件：技术要求响应</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详见附件：业绩证明文件</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详见附件：供应商资格证明文件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