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版本号：ZCSP-渭南市-2026-0007920260506002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渭南市沿黄公路沿线植被恢复项目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ZCSP-渭南市-2026-00079</w:t>
      </w:r>
      <w:r>
        <w:br/>
      </w:r>
      <w:r>
        <w:br/>
      </w:r>
      <w:r>
        <w:br/>
      </w:r>
    </w:p>
    <w:p>
      <w:pPr>
        <w:pStyle w:val="null3"/>
        <w:jc w:val="center"/>
        <w:outlineLvl w:val="2"/>
      </w:pPr>
      <w:r>
        <w:rPr>
          <w:rFonts w:ascii="仿宋_GB2312" w:hAnsi="仿宋_GB2312" w:cs="仿宋_GB2312" w:eastAsia="仿宋_GB2312"/>
          <w:sz w:val="28"/>
          <w:b/>
        </w:rPr>
        <w:t>渭南市绿化和退耕还林（草）事务中心</w:t>
      </w:r>
    </w:p>
    <w:p>
      <w:pPr>
        <w:pStyle w:val="null3"/>
        <w:jc w:val="center"/>
        <w:outlineLvl w:val="2"/>
      </w:pPr>
      <w:r>
        <w:rPr>
          <w:rFonts w:ascii="仿宋_GB2312" w:hAnsi="仿宋_GB2312" w:cs="仿宋_GB2312" w:eastAsia="仿宋_GB2312"/>
          <w:sz w:val="28"/>
          <w:b/>
        </w:rPr>
        <w:t>陕西利隆建设项目管理有限公司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陕西利隆建设项目管理有限公司</w:t>
      </w:r>
      <w:r>
        <w:rPr>
          <w:rFonts w:ascii="仿宋_GB2312" w:hAnsi="仿宋_GB2312" w:cs="仿宋_GB2312" w:eastAsia="仿宋_GB2312"/>
        </w:rPr>
        <w:t>（以下简称“代理机构”）受</w:t>
      </w:r>
      <w:r>
        <w:rPr>
          <w:rFonts w:ascii="仿宋_GB2312" w:hAnsi="仿宋_GB2312" w:cs="仿宋_GB2312" w:eastAsia="仿宋_GB2312"/>
        </w:rPr>
        <w:t>渭南市绿化和退耕还林（草）事务中心</w:t>
      </w:r>
      <w:r>
        <w:rPr>
          <w:rFonts w:ascii="仿宋_GB2312" w:hAnsi="仿宋_GB2312" w:cs="仿宋_GB2312" w:eastAsia="仿宋_GB2312"/>
        </w:rPr>
        <w:t>委托，拟对</w:t>
      </w:r>
      <w:r>
        <w:rPr>
          <w:rFonts w:ascii="仿宋_GB2312" w:hAnsi="仿宋_GB2312" w:cs="仿宋_GB2312" w:eastAsia="仿宋_GB2312"/>
        </w:rPr>
        <w:t>渭南市沿黄公路沿线植被恢复项目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ZCSP-渭南市-2026-00079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渭南市沿黄公路沿线植被恢复项目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项目建设地点为渭南市沿黄公路华阴段、大荔段部分路段，涉及华阴市岳庙街道，大荔县韦林镇、赵渡镇。实施抚育209亩、补造76.7亩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采购包1（渭南市沿黄公路沿线植被恢复项目）：属于专门面向中小企业采购。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2、资格要求：拟委派本项目的负责人须具备林业、园林相关专业中级及以上技术职称，未担任其他在建工程的项目负责人，提供无在建承诺书</w:t>
      </w:r>
    </w:p>
    <w:p>
      <w:pPr>
        <w:pStyle w:val="null3"/>
      </w:pPr>
      <w:r>
        <w:rPr>
          <w:rFonts w:ascii="仿宋_GB2312" w:hAnsi="仿宋_GB2312" w:cs="仿宋_GB2312" w:eastAsia="仿宋_GB2312"/>
        </w:rPr>
        <w:t>3、信誉要求：供应商不得为“信用中国 ”网站（www.creditchina.gov.cn） 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4、磋商保证金：供应商提供磋商保证金缴纳证明</w:t>
      </w:r>
    </w:p>
    <w:p>
      <w:pPr>
        <w:pStyle w:val="null3"/>
      </w:pPr>
      <w:r>
        <w:rPr>
          <w:rFonts w:ascii="仿宋_GB2312" w:hAnsi="仿宋_GB2312" w:cs="仿宋_GB2312" w:eastAsia="仿宋_GB2312"/>
        </w:rPr>
        <w:t>5、联合体：本项目不接受联合体磋商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渭南市绿化和退耕还林（草）事务中心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渭南市朝阳大街中段林业大厦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渭南市绿化和退耕还林（草）事务中心经办岗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18434915006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陕西利隆建设项目管理有限公司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陕西省渭南市临渭区朝阳大街中段审计大厦东座301室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0913-2056859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开户名称：陕西利隆建设项目管理有限公司</w:t>
            </w:r>
          </w:p>
          <w:p>
            <w:pPr>
              <w:pStyle w:val="null3"/>
            </w:pPr>
            <w:r>
              <w:rPr>
                <w:rFonts w:ascii="仿宋_GB2312" w:hAnsi="仿宋_GB2312" w:cs="仿宋_GB2312" w:eastAsia="仿宋_GB2312"/>
              </w:rPr>
              <w:t>开户银行：中国工商银行股份有限公司渭南仓程路支行</w:t>
            </w:r>
          </w:p>
          <w:p>
            <w:pPr>
              <w:pStyle w:val="null3"/>
            </w:pPr>
            <w:r>
              <w:rPr>
                <w:rFonts w:ascii="仿宋_GB2312" w:hAnsi="仿宋_GB2312" w:cs="仿宋_GB2312" w:eastAsia="仿宋_GB2312"/>
              </w:rPr>
              <w:t>银行账号：2605025909020001177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成交（成交）价为基数计算，按照标准收取。由成交供应商在领取成交通知书前，一次性向采购代理机构缴纳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渭南市绿化和退耕还林（草）事务中心</w:t>
      </w:r>
      <w:r>
        <w:rPr>
          <w:rFonts w:ascii="仿宋_GB2312" w:hAnsi="仿宋_GB2312" w:cs="仿宋_GB2312" w:eastAsia="仿宋_GB2312"/>
        </w:rPr>
        <w:t>和</w:t>
      </w:r>
      <w:r>
        <w:rPr>
          <w:rFonts w:ascii="仿宋_GB2312" w:hAnsi="仿宋_GB2312" w:cs="仿宋_GB2312" w:eastAsia="仿宋_GB2312"/>
        </w:rPr>
        <w:t>陕西利隆建设项目管理有限公司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渭南市绿化和退耕还林（草）事务中心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陕西利隆建设项目管理有限公司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渭南市绿化和退耕还林（草）事务中心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陕西利隆建设项目管理有限公司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1、本工程应按要求完成工程全部内容。 2、本工程验收标准应符合国家相关工程管理规定及行业标准以及图纸要求。 3、本项目还需要达到以下验收要求：符合磋商文件和乙方响应文件所要求以及国家相关技术标准，并在项目完成后，由采购人组成验收小组进行验收（必要时聘请相应专家或委托相应部门验收），经过验收小组检查后一致认为已达到要求视为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联系人：宋敏歌</w:t>
      </w:r>
    </w:p>
    <w:p>
      <w:pPr>
        <w:pStyle w:val="null3"/>
      </w:pPr>
      <w:r>
        <w:rPr>
          <w:rFonts w:ascii="仿宋_GB2312" w:hAnsi="仿宋_GB2312" w:cs="仿宋_GB2312" w:eastAsia="仿宋_GB2312"/>
        </w:rPr>
        <w:t>联系电话：0913-2056859</w:t>
      </w:r>
    </w:p>
    <w:p>
      <w:pPr>
        <w:pStyle w:val="null3"/>
      </w:pPr>
      <w:r>
        <w:rPr>
          <w:rFonts w:ascii="仿宋_GB2312" w:hAnsi="仿宋_GB2312" w:cs="仿宋_GB2312" w:eastAsia="仿宋_GB2312"/>
        </w:rPr>
        <w:t>地址：陕西省渭南市临渭区朝阳大街中段审计大厦东座301室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855,000.00</w:t>
      </w:r>
    </w:p>
    <w:p>
      <w:pPr>
        <w:pStyle w:val="null3"/>
      </w:pPr>
      <w:r>
        <w:rPr>
          <w:rFonts w:ascii="仿宋_GB2312" w:hAnsi="仿宋_GB2312" w:cs="仿宋_GB2312" w:eastAsia="仿宋_GB2312"/>
        </w:rPr>
        <w:t>采购包最高限价（元）: 855,000.00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渭南市沿黄公路沿线植被恢复项目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855,000.00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标的名称：渭南市沿黄公路沿线植被恢复项目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一、项目建设情况</w:t>
            </w:r>
          </w:p>
          <w:p>
            <w:pPr>
              <w:pStyle w:val="null3"/>
            </w:pPr>
            <w:r>
              <w:rPr>
                <w:rFonts w:ascii="仿宋_GB2312" w:hAnsi="仿宋_GB2312" w:cs="仿宋_GB2312" w:eastAsia="仿宋_GB2312"/>
              </w:rPr>
              <w:t>1.项目名称</w:t>
            </w:r>
          </w:p>
          <w:p>
            <w:pPr>
              <w:pStyle w:val="null3"/>
            </w:pPr>
            <w:r>
              <w:rPr>
                <w:rFonts w:ascii="仿宋_GB2312" w:hAnsi="仿宋_GB2312" w:cs="仿宋_GB2312" w:eastAsia="仿宋_GB2312"/>
              </w:rPr>
              <w:t>渭南市沿黄公路沿线植被恢复项目</w:t>
            </w:r>
          </w:p>
          <w:p>
            <w:pPr>
              <w:pStyle w:val="null3"/>
            </w:pPr>
            <w:r>
              <w:rPr>
                <w:rFonts w:ascii="仿宋_GB2312" w:hAnsi="仿宋_GB2312" w:cs="仿宋_GB2312" w:eastAsia="仿宋_GB2312"/>
              </w:rPr>
              <w:t>2.项目建设内容、规模</w:t>
            </w:r>
          </w:p>
          <w:p>
            <w:pPr>
              <w:pStyle w:val="null3"/>
            </w:pPr>
            <w:r>
              <w:rPr>
                <w:rFonts w:ascii="仿宋_GB2312" w:hAnsi="仿宋_GB2312" w:cs="仿宋_GB2312" w:eastAsia="仿宋_GB2312"/>
              </w:rPr>
              <w:t>项目建设地点为渭南市沿黄公路华阴段、大荔段部分路段，涉及华阴市岳庙街道，大荔县韦林镇、赵渡镇。实施抚育209亩、补造76.7亩。</w:t>
            </w:r>
          </w:p>
          <w:p>
            <w:pPr>
              <w:pStyle w:val="null3"/>
            </w:pPr>
            <w:r>
              <w:rPr>
                <w:rFonts w:ascii="仿宋_GB2312" w:hAnsi="仿宋_GB2312" w:cs="仿宋_GB2312" w:eastAsia="仿宋_GB2312"/>
              </w:rPr>
              <w:t>3.工期</w:t>
            </w:r>
          </w:p>
          <w:p>
            <w:pPr>
              <w:pStyle w:val="null3"/>
            </w:pPr>
            <w:r>
              <w:rPr>
                <w:rFonts w:ascii="仿宋_GB2312" w:hAnsi="仿宋_GB2312" w:cs="仿宋_GB2312" w:eastAsia="仿宋_GB2312"/>
              </w:rPr>
              <w:t>合同签订后30日历天</w:t>
            </w:r>
          </w:p>
          <w:p>
            <w:pPr>
              <w:pStyle w:val="null3"/>
            </w:pPr>
            <w:r>
              <w:rPr>
                <w:rFonts w:ascii="仿宋_GB2312" w:hAnsi="仿宋_GB2312" w:cs="仿宋_GB2312" w:eastAsia="仿宋_GB2312"/>
              </w:rPr>
              <w:t>4.质量标准</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5.养护期</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b/>
              </w:rPr>
              <w:t>二、主要建设内容及技术要求</w:t>
            </w:r>
          </w:p>
          <w:p>
            <w:pPr>
              <w:pStyle w:val="null3"/>
            </w:pPr>
            <w:r>
              <w:rPr>
                <w:rFonts w:ascii="仿宋_GB2312" w:hAnsi="仿宋_GB2312" w:cs="仿宋_GB2312" w:eastAsia="仿宋_GB2312"/>
              </w:rPr>
              <w:t>1.项目区建设面积划分</w:t>
            </w:r>
          </w:p>
          <w:p>
            <w:pPr>
              <w:pStyle w:val="null3"/>
            </w:pPr>
            <w:r>
              <w:rPr>
                <w:rFonts w:ascii="仿宋_GB2312" w:hAnsi="仿宋_GB2312" w:cs="仿宋_GB2312" w:eastAsia="仿宋_GB2312"/>
                <w:color w:val="000000"/>
              </w:rPr>
              <w:t>单位：亩</w:t>
            </w:r>
          </w:p>
          <w:tbl>
            <w:tblPr>
              <w:tblInd w:type="dxa" w:w="120"/>
              <w:tblBorders>
                <w:top w:val="none" w:color="000000" w:sz="4"/>
                <w:left w:val="none" w:color="000000" w:sz="4"/>
                <w:bottom w:val="none" w:color="000000" w:sz="4"/>
                <w:right w:val="none" w:color="000000" w:sz="4"/>
                <w:insideH w:val="none"/>
                <w:insideV w:val="none"/>
              </w:tblBorders>
            </w:tblPr>
            <w:tblGrid>
              <w:gridCol w:w="247"/>
              <w:gridCol w:w="355"/>
              <w:gridCol w:w="409"/>
              <w:gridCol w:w="409"/>
              <w:gridCol w:w="373"/>
              <w:gridCol w:w="373"/>
              <w:gridCol w:w="382"/>
            </w:tblGrid>
            <w:tr>
              <w:tc>
                <w:tcPr>
                  <w:tcW w:type="dxa" w:w="24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b/>
                      <w:color w:val="000000"/>
                    </w:rPr>
                    <w:t>序号</w:t>
                  </w:r>
                </w:p>
              </w:tc>
              <w:tc>
                <w:tcPr>
                  <w:tcW w:type="dxa" w:w="355"/>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b/>
                      <w:color w:val="000000"/>
                    </w:rPr>
                    <w:t>镇</w:t>
                  </w:r>
                </w:p>
              </w:tc>
              <w:tc>
                <w:tcPr>
                  <w:tcW w:type="dxa" w:w="409"/>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300"/>
                    <w:ind w:left="450" w:right="435"/>
                  </w:pPr>
                  <w:r>
                    <w:rPr>
                      <w:rFonts w:ascii="仿宋_GB2312" w:hAnsi="仿宋_GB2312" w:cs="仿宋_GB2312" w:eastAsia="仿宋_GB2312"/>
                      <w:b/>
                      <w:color w:val="000000"/>
                    </w:rPr>
                    <w:t>小班</w:t>
                  </w:r>
                  <w:r>
                    <w:rPr>
                      <w:rFonts w:ascii="仿宋_GB2312" w:hAnsi="仿宋_GB2312" w:cs="仿宋_GB2312" w:eastAsia="仿宋_GB2312"/>
                      <w:b/>
                      <w:color w:val="000000"/>
                    </w:rPr>
                    <w:t>面积</w:t>
                  </w:r>
                </w:p>
              </w:tc>
              <w:tc>
                <w:tcPr>
                  <w:tcW w:type="dxa" w:w="409"/>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300"/>
                    <w:ind w:left="450" w:right="435"/>
                  </w:pPr>
                  <w:r>
                    <w:rPr>
                      <w:rFonts w:ascii="仿宋_GB2312" w:hAnsi="仿宋_GB2312" w:cs="仿宋_GB2312" w:eastAsia="仿宋_GB2312"/>
                      <w:b/>
                      <w:color w:val="000000"/>
                    </w:rPr>
                    <w:t>抚育</w:t>
                  </w:r>
                  <w:r>
                    <w:rPr>
                      <w:rFonts w:ascii="仿宋_GB2312" w:hAnsi="仿宋_GB2312" w:cs="仿宋_GB2312" w:eastAsia="仿宋_GB2312"/>
                      <w:b/>
                      <w:color w:val="000000"/>
                    </w:rPr>
                    <w:t>面积</w:t>
                  </w:r>
                </w:p>
              </w:tc>
              <w:tc>
                <w:tcPr>
                  <w:tcW w:type="dxa" w:w="1128"/>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410"/>
                  </w:pPr>
                  <w:r>
                    <w:rPr>
                      <w:rFonts w:ascii="仿宋_GB2312" w:hAnsi="仿宋_GB2312" w:cs="仿宋_GB2312" w:eastAsia="仿宋_GB2312"/>
                      <w:b/>
                      <w:color w:val="000000"/>
                    </w:rPr>
                    <w:t>补造面积</w:t>
                  </w:r>
                </w:p>
              </w:tc>
            </w:tr>
            <w:tr>
              <w:tc>
                <w:tcPr>
                  <w:tcW w:type="dxa" w:w="247"/>
                  <w:vMerge/>
                  <w:tcBorders>
                    <w:top w:val="single" w:color="000000" w:sz="4"/>
                    <w:left w:val="single" w:color="000000" w:sz="4"/>
                    <w:bottom w:val="none" w:color="000000" w:sz="4"/>
                    <w:right w:val="single" w:color="000000" w:sz="4"/>
                  </w:tcBorders>
                </w:tcPr>
                <w:p/>
              </w:tc>
              <w:tc>
                <w:tcPr>
                  <w:tcW w:type="dxa" w:w="355"/>
                  <w:vMerge/>
                  <w:tcBorders>
                    <w:top w:val="single" w:color="000000" w:sz="4"/>
                    <w:left w:val="single" w:color="000000" w:sz="4"/>
                    <w:bottom w:val="none" w:color="000000" w:sz="4"/>
                    <w:right w:val="single" w:color="000000" w:sz="4"/>
                  </w:tcBorders>
                </w:tcPr>
                <w:p/>
              </w:tc>
              <w:tc>
                <w:tcPr>
                  <w:tcW w:type="dxa" w:w="409"/>
                  <w:vMerge/>
                  <w:tcBorders>
                    <w:top w:val="single" w:color="000000" w:sz="4"/>
                    <w:left w:val="single" w:color="000000" w:sz="4"/>
                    <w:bottom w:val="none" w:color="000000" w:sz="4"/>
                    <w:right w:val="single" w:color="000000" w:sz="4"/>
                  </w:tcBorders>
                </w:tcPr>
                <w:p/>
              </w:tc>
              <w:tc>
                <w:tcPr>
                  <w:tcW w:type="dxa" w:w="409"/>
                  <w:vMerge/>
                  <w:tcBorders>
                    <w:top w:val="single" w:color="000000" w:sz="4"/>
                    <w:left w:val="single" w:color="000000" w:sz="4"/>
                    <w:bottom w:val="none" w:color="000000" w:sz="4"/>
                    <w:right w:val="single" w:color="000000" w:sz="4"/>
                  </w:tcBorders>
                </w:tcP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405"/>
                  </w:pPr>
                  <w:r>
                    <w:rPr>
                      <w:rFonts w:ascii="仿宋_GB2312" w:hAnsi="仿宋_GB2312" w:cs="仿宋_GB2312" w:eastAsia="仿宋_GB2312"/>
                      <w:b/>
                      <w:color w:val="000000"/>
                    </w:rPr>
                    <w:t>合计</w:t>
                  </w:r>
                </w:p>
              </w:tc>
              <w:tc>
                <w:tcPr>
                  <w:tcW w:type="dxa" w:w="3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85"/>
                  </w:pPr>
                  <w:r>
                    <w:rPr>
                      <w:rFonts w:ascii="仿宋_GB2312" w:hAnsi="仿宋_GB2312" w:cs="仿宋_GB2312" w:eastAsia="仿宋_GB2312"/>
                      <w:b/>
                      <w:color w:val="000000"/>
                    </w:rPr>
                    <w:t>乔木、</w:t>
                  </w:r>
                </w:p>
                <w:p>
                  <w:pPr>
                    <w:pStyle w:val="null3"/>
                    <w:spacing w:before="105"/>
                    <w:ind w:left="270"/>
                  </w:pPr>
                  <w:r>
                    <w:rPr>
                      <w:rFonts w:ascii="仿宋_GB2312" w:hAnsi="仿宋_GB2312" w:cs="仿宋_GB2312" w:eastAsia="仿宋_GB2312"/>
                      <w:b/>
                      <w:color w:val="000000"/>
                    </w:rPr>
                    <w:t>小乔木</w:t>
                  </w:r>
                </w:p>
              </w:tc>
              <w:tc>
                <w:tcPr>
                  <w:tcW w:type="dxa" w:w="3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405"/>
                  </w:pPr>
                  <w:r>
                    <w:rPr>
                      <w:rFonts w:ascii="仿宋_GB2312" w:hAnsi="仿宋_GB2312" w:cs="仿宋_GB2312" w:eastAsia="仿宋_GB2312"/>
                      <w:b/>
                      <w:color w:val="000000"/>
                    </w:rPr>
                    <w:t>绿篱</w:t>
                  </w:r>
                </w:p>
              </w:tc>
            </w:tr>
            <w:tr>
              <w:tc>
                <w:tcPr>
                  <w:tcW w:type="dxa" w:w="60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60"/>
                  </w:pPr>
                  <w:r>
                    <w:rPr>
                      <w:rFonts w:ascii="仿宋_GB2312" w:hAnsi="仿宋_GB2312" w:cs="仿宋_GB2312" w:eastAsia="仿宋_GB2312"/>
                      <w:b/>
                      <w:color w:val="000000"/>
                    </w:rPr>
                    <w:t>渭南市</w:t>
                  </w: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75"/>
                  </w:pPr>
                  <w:r>
                    <w:rPr>
                      <w:rFonts w:ascii="仿宋_GB2312" w:hAnsi="仿宋_GB2312" w:cs="仿宋_GB2312" w:eastAsia="仿宋_GB2312"/>
                      <w:b/>
                      <w:color w:val="000000"/>
                    </w:rPr>
                    <w:t>209.0</w:t>
                  </w: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90"/>
                  </w:pPr>
                  <w:r>
                    <w:rPr>
                      <w:rFonts w:ascii="仿宋_GB2312" w:hAnsi="仿宋_GB2312" w:cs="仿宋_GB2312" w:eastAsia="仿宋_GB2312"/>
                      <w:b/>
                      <w:color w:val="000000"/>
                    </w:rPr>
                    <w:t>209.0</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90"/>
                  </w:pPr>
                  <w:r>
                    <w:rPr>
                      <w:rFonts w:ascii="仿宋_GB2312" w:hAnsi="仿宋_GB2312" w:cs="仿宋_GB2312" w:eastAsia="仿宋_GB2312"/>
                      <w:b/>
                      <w:color w:val="000000"/>
                    </w:rPr>
                    <w:t>76.7</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90"/>
                  </w:pPr>
                  <w:r>
                    <w:rPr>
                      <w:rFonts w:ascii="仿宋_GB2312" w:hAnsi="仿宋_GB2312" w:cs="仿宋_GB2312" w:eastAsia="仿宋_GB2312"/>
                      <w:b/>
                      <w:color w:val="000000"/>
                    </w:rPr>
                    <w:t>59.2</w:t>
                  </w:r>
                </w:p>
              </w:tc>
              <w:tc>
                <w:tcPr>
                  <w:tcW w:type="dxa" w:w="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20"/>
                  </w:pPr>
                  <w:r>
                    <w:rPr>
                      <w:rFonts w:ascii="仿宋_GB2312" w:hAnsi="仿宋_GB2312" w:cs="仿宋_GB2312" w:eastAsia="仿宋_GB2312"/>
                      <w:b/>
                      <w:color w:val="000000"/>
                    </w:rPr>
                    <w:t>17.5</w:t>
                  </w:r>
                </w:p>
              </w:tc>
            </w:tr>
            <w:tr>
              <w:tc>
                <w:tcPr>
                  <w:tcW w:type="dxa" w:w="60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60"/>
                  </w:pPr>
                  <w:r>
                    <w:rPr>
                      <w:rFonts w:ascii="仿宋_GB2312" w:hAnsi="仿宋_GB2312" w:cs="仿宋_GB2312" w:eastAsia="仿宋_GB2312"/>
                      <w:b/>
                      <w:color w:val="000000"/>
                    </w:rPr>
                    <w:t>华阴市</w:t>
                  </w: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b/>
                      <w:color w:val="000000"/>
                    </w:rPr>
                    <w:t>102.3</w:t>
                  </w: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05"/>
                  </w:pPr>
                  <w:r>
                    <w:rPr>
                      <w:rFonts w:ascii="仿宋_GB2312" w:hAnsi="仿宋_GB2312" w:cs="仿宋_GB2312" w:eastAsia="仿宋_GB2312"/>
                      <w:b/>
                      <w:color w:val="000000"/>
                    </w:rPr>
                    <w:t>102.3</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b/>
                      <w:color w:val="000000"/>
                    </w:rPr>
                    <w:t>34.6</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05"/>
                  </w:pPr>
                  <w:r>
                    <w:rPr>
                      <w:rFonts w:ascii="仿宋_GB2312" w:hAnsi="仿宋_GB2312" w:cs="仿宋_GB2312" w:eastAsia="仿宋_GB2312"/>
                      <w:b/>
                      <w:color w:val="000000"/>
                    </w:rPr>
                    <w:t>18.8</w:t>
                  </w:r>
                </w:p>
              </w:tc>
              <w:tc>
                <w:tcPr>
                  <w:tcW w:type="dxa" w:w="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20"/>
                  </w:pPr>
                  <w:r>
                    <w:rPr>
                      <w:rFonts w:ascii="仿宋_GB2312" w:hAnsi="仿宋_GB2312" w:cs="仿宋_GB2312" w:eastAsia="仿宋_GB2312"/>
                      <w:b/>
                      <w:color w:val="000000"/>
                    </w:rPr>
                    <w:t>15.8</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75"/>
                  </w:pPr>
                  <w:r>
                    <w:rPr>
                      <w:rFonts w:ascii="仿宋_GB2312" w:hAnsi="仿宋_GB2312" w:cs="仿宋_GB2312" w:eastAsia="仿宋_GB2312"/>
                      <w:color w:val="000000"/>
                    </w:rPr>
                    <w:t>1</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pPr>
                  <w:r>
                    <w:rPr>
                      <w:rFonts w:ascii="仿宋_GB2312" w:hAnsi="仿宋_GB2312" w:cs="仿宋_GB2312" w:eastAsia="仿宋_GB2312"/>
                      <w:color w:val="000000"/>
                    </w:rPr>
                    <w:t>岳庙街道</w:t>
                  </w: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05"/>
                  </w:pPr>
                  <w:r>
                    <w:rPr>
                      <w:rFonts w:ascii="仿宋_GB2312" w:hAnsi="仿宋_GB2312" w:cs="仿宋_GB2312" w:eastAsia="仿宋_GB2312"/>
                      <w:color w:val="000000"/>
                    </w:rPr>
                    <w:t>102.3</w:t>
                  </w: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05"/>
                  </w:pPr>
                  <w:r>
                    <w:rPr>
                      <w:rFonts w:ascii="仿宋_GB2312" w:hAnsi="仿宋_GB2312" w:cs="仿宋_GB2312" w:eastAsia="仿宋_GB2312"/>
                      <w:color w:val="000000"/>
                    </w:rPr>
                    <w:t>102.3</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color w:val="000000"/>
                    </w:rPr>
                    <w:t>34.6</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05"/>
                  </w:pPr>
                  <w:r>
                    <w:rPr>
                      <w:rFonts w:ascii="仿宋_GB2312" w:hAnsi="仿宋_GB2312" w:cs="仿宋_GB2312" w:eastAsia="仿宋_GB2312"/>
                      <w:color w:val="000000"/>
                    </w:rPr>
                    <w:t>18.8</w:t>
                  </w:r>
                </w:p>
              </w:tc>
              <w:tc>
                <w:tcPr>
                  <w:tcW w:type="dxa" w:w="3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20"/>
                  </w:pPr>
                  <w:r>
                    <w:rPr>
                      <w:rFonts w:ascii="仿宋_GB2312" w:hAnsi="仿宋_GB2312" w:cs="仿宋_GB2312" w:eastAsia="仿宋_GB2312"/>
                      <w:color w:val="000000"/>
                    </w:rPr>
                    <w:t>15.8</w:t>
                  </w:r>
                </w:p>
              </w:tc>
            </w:tr>
            <w:tr>
              <w:tc>
                <w:tcPr>
                  <w:tcW w:type="dxa" w:w="60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60"/>
                  </w:pPr>
                  <w:r>
                    <w:rPr>
                      <w:rFonts w:ascii="仿宋_GB2312" w:hAnsi="仿宋_GB2312" w:cs="仿宋_GB2312" w:eastAsia="仿宋_GB2312"/>
                      <w:b/>
                      <w:color w:val="000000"/>
                    </w:rPr>
                    <w:t>大荔县</w:t>
                  </w: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b/>
                      <w:color w:val="000000"/>
                    </w:rPr>
                    <w:t>106.7</w:t>
                  </w: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05"/>
                  </w:pPr>
                  <w:r>
                    <w:rPr>
                      <w:rFonts w:ascii="仿宋_GB2312" w:hAnsi="仿宋_GB2312" w:cs="仿宋_GB2312" w:eastAsia="仿宋_GB2312"/>
                      <w:b/>
                      <w:color w:val="000000"/>
                    </w:rPr>
                    <w:t>106.7</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b/>
                      <w:color w:val="000000"/>
                    </w:rPr>
                    <w:t>42.1</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b/>
                      <w:color w:val="000000"/>
                    </w:rPr>
                    <w:t>40.4</w:t>
                  </w:r>
                </w:p>
              </w:tc>
              <w:tc>
                <w:tcPr>
                  <w:tcW w:type="dxa" w:w="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80"/>
                  </w:pPr>
                  <w:r>
                    <w:rPr>
                      <w:rFonts w:ascii="仿宋_GB2312" w:hAnsi="仿宋_GB2312" w:cs="仿宋_GB2312" w:eastAsia="仿宋_GB2312"/>
                      <w:b/>
                      <w:color w:val="000000"/>
                    </w:rPr>
                    <w:t>1.7</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75"/>
                  </w:pPr>
                  <w:r>
                    <w:rPr>
                      <w:rFonts w:ascii="仿宋_GB2312" w:hAnsi="仿宋_GB2312" w:cs="仿宋_GB2312" w:eastAsia="仿宋_GB2312"/>
                      <w:color w:val="000000"/>
                    </w:rPr>
                    <w:t>1</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55"/>
                  </w:pPr>
                  <w:r>
                    <w:rPr>
                      <w:rFonts w:ascii="仿宋_GB2312" w:hAnsi="仿宋_GB2312" w:cs="仿宋_GB2312" w:eastAsia="仿宋_GB2312"/>
                      <w:color w:val="000000"/>
                    </w:rPr>
                    <w:t>韦林镇</w:t>
                  </w: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35"/>
                  </w:pPr>
                  <w:r>
                    <w:rPr>
                      <w:rFonts w:ascii="仿宋_GB2312" w:hAnsi="仿宋_GB2312" w:cs="仿宋_GB2312" w:eastAsia="仿宋_GB2312"/>
                      <w:color w:val="000000"/>
                    </w:rPr>
                    <w:t>91.8</w:t>
                  </w: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50"/>
                  </w:pPr>
                  <w:r>
                    <w:rPr>
                      <w:rFonts w:ascii="仿宋_GB2312" w:hAnsi="仿宋_GB2312" w:cs="仿宋_GB2312" w:eastAsia="仿宋_GB2312"/>
                      <w:color w:val="000000"/>
                    </w:rPr>
                    <w:t>91.8</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color w:val="000000"/>
                    </w:rPr>
                    <w:t>38.7</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color w:val="000000"/>
                    </w:rPr>
                    <w:t>37.2</w:t>
                  </w:r>
                </w:p>
              </w:tc>
              <w:tc>
                <w:tcPr>
                  <w:tcW w:type="dxa" w:w="3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80"/>
                  </w:pPr>
                  <w:r>
                    <w:rPr>
                      <w:rFonts w:ascii="仿宋_GB2312" w:hAnsi="仿宋_GB2312" w:cs="仿宋_GB2312" w:eastAsia="仿宋_GB2312"/>
                      <w:color w:val="000000"/>
                    </w:rPr>
                    <w:t>1.5</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60"/>
                  </w:pPr>
                  <w:r>
                    <w:rPr>
                      <w:rFonts w:ascii="仿宋_GB2312" w:hAnsi="仿宋_GB2312" w:cs="仿宋_GB2312" w:eastAsia="仿宋_GB2312"/>
                      <w:color w:val="000000"/>
                    </w:rPr>
                    <w:t>2</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40"/>
                  </w:pPr>
                  <w:r>
                    <w:rPr>
                      <w:rFonts w:ascii="仿宋_GB2312" w:hAnsi="仿宋_GB2312" w:cs="仿宋_GB2312" w:eastAsia="仿宋_GB2312"/>
                      <w:color w:val="000000"/>
                    </w:rPr>
                    <w:t>赵渡镇</w:t>
                  </w: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65"/>
                  </w:pPr>
                  <w:r>
                    <w:rPr>
                      <w:rFonts w:ascii="仿宋_GB2312" w:hAnsi="仿宋_GB2312" w:cs="仿宋_GB2312" w:eastAsia="仿宋_GB2312"/>
                      <w:color w:val="000000"/>
                    </w:rPr>
                    <w:t>14.9</w:t>
                  </w:r>
                </w:p>
              </w:tc>
              <w:tc>
                <w:tcPr>
                  <w:tcW w:type="dxa" w:w="4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65"/>
                  </w:pPr>
                  <w:r>
                    <w:rPr>
                      <w:rFonts w:ascii="仿宋_GB2312" w:hAnsi="仿宋_GB2312" w:cs="仿宋_GB2312" w:eastAsia="仿宋_GB2312"/>
                      <w:color w:val="000000"/>
                    </w:rPr>
                    <w:t>14.9</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50"/>
                  </w:pPr>
                  <w:r>
                    <w:rPr>
                      <w:rFonts w:ascii="仿宋_GB2312" w:hAnsi="仿宋_GB2312" w:cs="仿宋_GB2312" w:eastAsia="仿宋_GB2312"/>
                      <w:color w:val="000000"/>
                    </w:rPr>
                    <w:t>3.4</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50"/>
                  </w:pPr>
                  <w:r>
                    <w:rPr>
                      <w:rFonts w:ascii="仿宋_GB2312" w:hAnsi="仿宋_GB2312" w:cs="仿宋_GB2312" w:eastAsia="仿宋_GB2312"/>
                      <w:color w:val="000000"/>
                    </w:rPr>
                    <w:t>3.2</w:t>
                  </w:r>
                </w:p>
              </w:tc>
              <w:tc>
                <w:tcPr>
                  <w:tcW w:type="dxa" w:w="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65"/>
                  </w:pPr>
                  <w:r>
                    <w:rPr>
                      <w:rFonts w:ascii="仿宋_GB2312" w:hAnsi="仿宋_GB2312" w:cs="仿宋_GB2312" w:eastAsia="仿宋_GB2312"/>
                      <w:color w:val="000000"/>
                    </w:rPr>
                    <w:t>0.2</w:t>
                  </w:r>
                </w:p>
              </w:tc>
            </w:tr>
          </w:tbl>
          <w:p>
            <w:pPr>
              <w:pStyle w:val="null3"/>
            </w:pPr>
            <w:r>
              <w:rPr>
                <w:rFonts w:ascii="仿宋_GB2312" w:hAnsi="仿宋_GB2312" w:cs="仿宋_GB2312" w:eastAsia="仿宋_GB2312"/>
              </w:rPr>
              <w:t>2.树种选择</w:t>
            </w:r>
          </w:p>
          <w:p>
            <w:pPr>
              <w:pStyle w:val="null3"/>
            </w:pPr>
            <w:r>
              <w:rPr>
                <w:rFonts w:ascii="仿宋_GB2312" w:hAnsi="仿宋_GB2312" w:cs="仿宋_GB2312" w:eastAsia="仿宋_GB2312"/>
              </w:rPr>
              <w:t>2.1 选择原则</w:t>
            </w:r>
          </w:p>
          <w:p>
            <w:pPr>
              <w:pStyle w:val="null3"/>
            </w:pPr>
            <w:r>
              <w:rPr>
                <w:rFonts w:ascii="仿宋_GB2312" w:hAnsi="仿宋_GB2312" w:cs="仿宋_GB2312" w:eastAsia="仿宋_GB2312"/>
              </w:rPr>
              <w:t>补造树种选择上，本着“因地适宜、适地适树、以乡土树种为主”的原则选择补造树种，为了有效美化道路绿化环境，提升对外形象，补植树种与原有树种一致，按照乔木为主，乔灌搭配，常绿树种和落 叶树种结合，赏花观叶兼顾的模式，因地制宜地补植提升林带、打造 节点绿景、营造绿地小品，构建多层次、立体化的交通道路沿线绿色 景观。</w:t>
            </w:r>
          </w:p>
          <w:p>
            <w:pPr>
              <w:pStyle w:val="null3"/>
            </w:pPr>
            <w:r>
              <w:rPr>
                <w:rFonts w:ascii="仿宋_GB2312" w:hAnsi="仿宋_GB2312" w:cs="仿宋_GB2312" w:eastAsia="仿宋_GB2312"/>
              </w:rPr>
              <w:t>2.2 补造树种</w:t>
            </w:r>
            <w:r>
              <w:rPr>
                <w:rFonts w:ascii="仿宋_GB2312" w:hAnsi="仿宋_GB2312" w:cs="仿宋_GB2312" w:eastAsia="仿宋_GB2312"/>
              </w:rPr>
              <w:t xml:space="preserve"> 根据项目区立地类型、植被现状、土壤特点及树种的生物、生态学特性，结合当地树种保存、生长状况和多年造林经验，在充分征求各项目县林业主管部门意见的基础上，选择栾树、红叶石楠、法桐、蜀桧、白蜡、紫叶李、小叶黄杨、圆柏、红叶石楠（篱）等为补造树种。</w:t>
            </w:r>
          </w:p>
          <w:p>
            <w:pPr>
              <w:pStyle w:val="null3"/>
            </w:pPr>
            <w:r>
              <w:rPr>
                <w:rFonts w:ascii="仿宋_GB2312" w:hAnsi="仿宋_GB2312" w:cs="仿宋_GB2312" w:eastAsia="仿宋_GB2312"/>
              </w:rPr>
              <w:t>3.补造措施</w:t>
            </w:r>
          </w:p>
          <w:p>
            <w:pPr>
              <w:pStyle w:val="null3"/>
            </w:pPr>
            <w:r>
              <w:rPr>
                <w:rFonts w:ascii="仿宋_GB2312" w:hAnsi="仿宋_GB2312" w:cs="仿宋_GB2312" w:eastAsia="仿宋_GB2312"/>
              </w:rPr>
              <w:t>（1）清运、换土</w:t>
            </w:r>
          </w:p>
          <w:p>
            <w:pPr>
              <w:pStyle w:val="null3"/>
            </w:pPr>
            <w:r>
              <w:rPr>
                <w:rFonts w:ascii="仿宋_GB2312" w:hAnsi="仿宋_GB2312" w:cs="仿宋_GB2312" w:eastAsia="仿宋_GB2312"/>
              </w:rPr>
              <w:t>选择肥沃、疏松、排水良好且无病虫害的客土，优先选用本地优质土壤资源，以保证土壤与本地气候、生态环境的适应性。客土的酸碱度、肥力等指标应接近植物生长的适宜范围。根据种植区域的面积、种植植物的种类和规格、所需土壤厚度等因素，计算客土的用量。将客土均匀铺设在种植区域，采用分层铺设的方式，每层厚度控制在20 厘米，并进行适当压实，确保土壤的密实度均匀，避免出现空洞或沉降现象。</w:t>
            </w:r>
          </w:p>
          <w:p>
            <w:pPr>
              <w:pStyle w:val="null3"/>
            </w:pPr>
            <w:r>
              <w:rPr>
                <w:rFonts w:ascii="仿宋_GB2312" w:hAnsi="仿宋_GB2312" w:cs="仿宋_GB2312" w:eastAsia="仿宋_GB2312"/>
              </w:rPr>
              <w:t>（2）整地</w:t>
            </w:r>
          </w:p>
          <w:p>
            <w:pPr>
              <w:pStyle w:val="null3"/>
            </w:pPr>
            <w:r>
              <w:rPr>
                <w:rFonts w:ascii="仿宋_GB2312" w:hAnsi="仿宋_GB2312" w:cs="仿宋_GB2312" w:eastAsia="仿宋_GB2312"/>
              </w:rPr>
              <w:t>整地应遵照因地制宜的原则，以蓄水保土为目的。乔木、小乔木树种整地方式为穴状整地，整地规格为 80×80×60cm；绿篱带状整地，品字形配置，每平米49 株。挖坑时先将表土堆在坑的上方，将生土堆在坑的下方，挖好后要求熟土回填，施足底肥，拣清杂根石块，整地时要对小班内的原生植被进行保护。</w:t>
            </w:r>
          </w:p>
          <w:p>
            <w:pPr>
              <w:pStyle w:val="null3"/>
            </w:pPr>
            <w:r>
              <w:rPr>
                <w:rFonts w:ascii="仿宋_GB2312" w:hAnsi="仿宋_GB2312" w:cs="仿宋_GB2312" w:eastAsia="仿宋_GB2312"/>
              </w:rPr>
              <w:t>（3）栽植</w:t>
            </w:r>
          </w:p>
          <w:p>
            <w:pPr>
              <w:pStyle w:val="null3"/>
            </w:pPr>
            <w:r>
              <w:rPr>
                <w:rFonts w:ascii="仿宋_GB2312" w:hAnsi="仿宋_GB2312" w:cs="仿宋_GB2312" w:eastAsia="仿宋_GB2312"/>
              </w:rPr>
              <w:t>栽植时间为春季。栽植方法为人工植苗。栽植时保持苗木原朝向，将熟化的土壤回填栽植穴中部，做到“苗端、根展、踩实 ”。苗木栽植深度适宜，苗木栽植过深根系温度低，不利于生长，过浅苗木根系水分得不到保证，成活率低。栽植后挖设集雨沟，并进行整穴，以保持土壤水分，提高成活率。</w:t>
            </w:r>
          </w:p>
          <w:p>
            <w:pPr>
              <w:pStyle w:val="null3"/>
            </w:pPr>
            <w:r>
              <w:rPr>
                <w:rFonts w:ascii="仿宋_GB2312" w:hAnsi="仿宋_GB2312" w:cs="仿宋_GB2312" w:eastAsia="仿宋_GB2312"/>
              </w:rPr>
              <w:t>（4）成活率调查与补植</w:t>
            </w:r>
          </w:p>
          <w:p>
            <w:pPr>
              <w:pStyle w:val="null3"/>
            </w:pPr>
            <w:r>
              <w:rPr>
                <w:rFonts w:ascii="仿宋_GB2312" w:hAnsi="仿宋_GB2312" w:cs="仿宋_GB2312" w:eastAsia="仿宋_GB2312"/>
              </w:rPr>
              <w:t>成活率调查应在一个生长季节后进行，时间安排在当年秋季进行，调查方法是在补造地段内分别计数成活与死亡株数。调查结果分别按成活率 85%及以上、41%～84%、40%及以下三级统计。成活率达不到 100%的小班，利用造林同规格苗木，按照造林设计密度和栽植方法对该小班全面进行补植。成活率在 40%及以下的小班必须按照造林设计密度和栽植方法重新进行造林。</w:t>
            </w:r>
          </w:p>
          <w:p>
            <w:pPr>
              <w:pStyle w:val="null3"/>
            </w:pPr>
            <w:r>
              <w:rPr>
                <w:rFonts w:ascii="仿宋_GB2312" w:hAnsi="仿宋_GB2312" w:cs="仿宋_GB2312" w:eastAsia="仿宋_GB2312"/>
              </w:rPr>
              <w:t>4.抚育措施</w:t>
            </w:r>
          </w:p>
          <w:p>
            <w:pPr>
              <w:pStyle w:val="null3"/>
            </w:pPr>
            <w:r>
              <w:rPr>
                <w:rFonts w:ascii="仿宋_GB2312" w:hAnsi="仿宋_GB2312" w:cs="仿宋_GB2312" w:eastAsia="仿宋_GB2312"/>
              </w:rPr>
              <w:t>（1）浇水</w:t>
            </w:r>
          </w:p>
          <w:p>
            <w:pPr>
              <w:pStyle w:val="null3"/>
            </w:pPr>
            <w:r>
              <w:rPr>
                <w:rFonts w:ascii="仿宋_GB2312" w:hAnsi="仿宋_GB2312" w:cs="仿宋_GB2312" w:eastAsia="仿宋_GB2312"/>
              </w:rPr>
              <w:t>苗木栽植后应及时浇足、浇透定根水。就近取水，水完全渗入土壤后再覆土；以后视土壤湿度适时浇水，每次浇水都要细水慢浇、浇足浇透。浇水频次 1 年 2 次，第 1 次在 5 月，第 2 次在9 月。</w:t>
            </w:r>
          </w:p>
          <w:p>
            <w:pPr>
              <w:pStyle w:val="null3"/>
            </w:pPr>
            <w:r>
              <w:rPr>
                <w:rFonts w:ascii="仿宋_GB2312" w:hAnsi="仿宋_GB2312" w:cs="仿宋_GB2312" w:eastAsia="仿宋_GB2312"/>
              </w:rPr>
              <w:t>（2）修枝</w:t>
            </w:r>
          </w:p>
          <w:p>
            <w:pPr>
              <w:pStyle w:val="null3"/>
            </w:pPr>
            <w:r>
              <w:rPr>
                <w:rFonts w:ascii="仿宋_GB2312" w:hAnsi="仿宋_GB2312" w:cs="仿宋_GB2312" w:eastAsia="仿宋_GB2312"/>
              </w:rPr>
              <w:t>修枝 1 年 2 次，第 1 次在 6～7 月，第 2 次宜在 9～10 月间。通过修枝增加树干的圆满度、减少死节、培育通直优质木材，改善林分通风与光照状况，减少树干火、雪压和风害的受灾程度，防止病虫害蔓延。修枝本着“轻修枝，留大冠，控制竞争，利用辅养 ”的原则，修掉枯死枝。修枝采用平切法，修枝时要紧贴枝条基部，切口平滑，不撕裂树皮。绿篱修枝保持顶部平、两侧直，先定轮廓，再修剪表层枝，做到轮廓清晰，造型饱满。抚育作业完成后，对抚育剩余物及时进行清理，保持卫生。</w:t>
            </w:r>
          </w:p>
          <w:p>
            <w:pPr>
              <w:pStyle w:val="null3"/>
            </w:pPr>
            <w:r>
              <w:rPr>
                <w:rFonts w:ascii="仿宋_GB2312" w:hAnsi="仿宋_GB2312" w:cs="仿宋_GB2312" w:eastAsia="仿宋_GB2312"/>
              </w:rPr>
              <w:t>（3）割灌除草</w:t>
            </w:r>
          </w:p>
          <w:p>
            <w:pPr>
              <w:pStyle w:val="null3"/>
            </w:pPr>
            <w:r>
              <w:rPr>
                <w:rFonts w:ascii="仿宋_GB2312" w:hAnsi="仿宋_GB2312" w:cs="仿宋_GB2312" w:eastAsia="仿宋_GB2312"/>
              </w:rPr>
              <w:t>对于影响苗木生长、破坏美观的灌木草本进行割除。割灌以目的树种为中心，割除周围影响其生长的杂灌，藤本植物需全部清除。割灌时贴近地面切割，留茬高度不宜超过5cm，施工作业时注重避免伤害目的树种，不伤根、不伤皮、不伤树梢，杂草清除干净，除草后及时清理杂草，避免留茬结籽，运出绿带集中处理。割灌除草 1 年 2 次，第 1 次在 6～7 月，第 2 次宜在 9～10 月间。</w:t>
            </w:r>
          </w:p>
          <w:p>
            <w:pPr>
              <w:pStyle w:val="null3"/>
            </w:pPr>
            <w:r>
              <w:rPr>
                <w:rFonts w:ascii="仿宋_GB2312" w:hAnsi="仿宋_GB2312" w:cs="仿宋_GB2312" w:eastAsia="仿宋_GB2312"/>
                <w:b/>
              </w:rPr>
              <w:t>三、工程量清单</w:t>
            </w:r>
          </w:p>
          <w:p>
            <w:pPr>
              <w:pStyle w:val="null3"/>
            </w:pPr>
            <w:r>
              <w:rPr>
                <w:rFonts w:ascii="仿宋_GB2312" w:hAnsi="仿宋_GB2312" w:cs="仿宋_GB2312" w:eastAsia="仿宋_GB2312"/>
              </w:rPr>
              <w:t>详见磋商文件附件</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执行的标准：(1)《造林技术规程》(GB/T 15776-2023)；(2)《造林作业设计规程》(办生字〔2023〕117 号)；(3)《高速公路绿化设计规范》(DB61/T 1056-2016)；(4)《主要造林树种苗木质量分级》(GB 6000-1999)；(5)《陕西省绿道规划设计标准》(DBJ61/T 127-2017)；(6)《第三次全国国土调查技术规程》(TD/T 1055-2019)；(7)《森林资源规划设计调查技术规程》(GB/T 26424-2017)；(8)《农田防护林工程设计规范》(GB/T50817—2013)；(9)《渭南市科学绿化指导手册》； (10)《陕西省森林立地分类系统与立地类型、造林类型、森林经营类型表》(2009 年 10 月)</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所属行业为：农、林、牧、渔业。营业收入20000万元以下的为中小微型企业。其中，营业收入500万元及以上的为中型企业，营业收入50万元及以上的为小型企业，营业收入50万元以下的为微型企业；2.2、成交供应商在领取成交通知书后三个工作日，须向采购代理机构提供一正一副纸质响应文件及电子版1份（U盘存储），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供应商应具有独立承担民事责任的能力的企业法人、其他组织或者自然人,企业法人应提供统一社会信用代码的营业执照；其他组织应提供合法证明文件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提供2024年度或2025年度经审计的财务报告或开标前六个月内其基本账户银行出具的资信证明或财政部门认可的政府采购专业担保机构出具的担保函（成立不足一年的可提供成立后至投标截止之日内任意一个月的资产负债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提供近一年内任意1个月依法缴纳税收的相关证明材料；注：依法免税或不需要缴纳社会保险的供应商提供相关部门出具的证明文件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提供近一年内任意1个月依法缴社会保险的相关证明材料；注：依法免税或不需要缴纳社会保险的供应商提供相关部门出具的证明文件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书面声明及承诺</w:t>
            </w:r>
          </w:p>
        </w:tc>
        <w:tc>
          <w:tcPr>
            <w:tcW w:type="dxa" w:w="3322"/>
          </w:tcPr>
          <w:p>
            <w:pPr>
              <w:pStyle w:val="null3"/>
            </w:pPr>
            <w:r>
              <w:rPr>
                <w:rFonts w:ascii="仿宋_GB2312" w:hAnsi="仿宋_GB2312" w:cs="仿宋_GB2312" w:eastAsia="仿宋_GB2312"/>
              </w:rPr>
              <w:t>①提供参加政府采购活动前3年内在经营活动中没有重大违法记录的书面声明；②提供具有履行合同所必需的设备和专业技术能力的承诺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法定代表人身份证明书与法定代表人授权书.docx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拟委派本项目的负责人须具备林业、园林相关专业中级及以上技术职称，未担任其他在建工程的项目负责人，提供无在建承诺书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 ”网站（www.creditchina.gov.cn） 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供应商提供磋商保证金缴纳证明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1、报价货币符合磋商文件要求 ; 2、未超出采购预算或磋商文件规定的最高限价</w:t>
            </w:r>
          </w:p>
        </w:tc>
        <w:tc>
          <w:tcPr>
            <w:tcW w:type="dxa" w:w="1661"/>
          </w:tcPr>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已标价工程量清单.docx 法定代表人身份证明书与法定代表人授权书.docx 中小企业声明函 承诺书.docx 响应文件封面 供应商应提交的相关资格证明材料.docx 项目管理机构组成表 残疾人福利性单位声明函 供应商类似项目业绩一览表 响应函 主要人员简历表 监狱企业的证明文件 技术、服务、合同条款及其他商务要求应答表.docx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技术、服务、合同条款及其他商务要求应答表.docx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评审得分相同的，按照最后报价由低到高的顺序推荐。评审得分且最后报价相同的，按照技术指标优劣顺序推荐。评审得分且最后报价且技术指标得分均相同的，由评标委员会不记名投票决定。</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（1）造林地清理及整地方案； （2）施肥、栽植、浇水及铺设育林方案； （3）抚育方案； （4）管护方案； （5）团队管理方案； （6）苗木运输、造林方法补植补造、抚育管理方案。 （二）评审标准： （1）每项评审内容完整无缺陷得2分；未提供得0分；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（1）进度保证措施； （2）工期保证措施。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（1）质量保障措施； （2）成活率调查与补植方案。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安全文明环保措施</w:t>
            </w:r>
          </w:p>
        </w:tc>
        <w:tc>
          <w:tcPr>
            <w:tcW w:type="dxa" w:w="2492"/>
          </w:tcPr>
          <w:p>
            <w:pPr>
              <w:pStyle w:val="null3"/>
            </w:pPr>
            <w:r>
              <w:rPr>
                <w:rFonts w:ascii="仿宋_GB2312" w:hAnsi="仿宋_GB2312" w:cs="仿宋_GB2312" w:eastAsia="仿宋_GB2312"/>
              </w:rPr>
              <w:t>（一）评审内容： （1）安全文明生产管理制度；（2）安全文明施工措施；（3）安全应急预案；（4）安全生产教育 （二）评审标准： （1）每项评审内容完整无缺陷得2分；未提供得0分；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后续服务保障措施</w:t>
            </w:r>
          </w:p>
        </w:tc>
        <w:tc>
          <w:tcPr>
            <w:tcW w:type="dxa" w:w="2492"/>
          </w:tcPr>
          <w:p>
            <w:pPr>
              <w:pStyle w:val="null3"/>
            </w:pPr>
            <w:r>
              <w:rPr>
                <w:rFonts w:ascii="仿宋_GB2312" w:hAnsi="仿宋_GB2312" w:cs="仿宋_GB2312" w:eastAsia="仿宋_GB2312"/>
              </w:rPr>
              <w:t>（一）评审内容： 后续服务方案。 （二）评审标准： （1）评审内容完整无缺陷得4分；未提供得0分； （2）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生物多样性及环境保护方案</w:t>
            </w:r>
          </w:p>
        </w:tc>
        <w:tc>
          <w:tcPr>
            <w:tcW w:type="dxa" w:w="2492"/>
          </w:tcPr>
          <w:p>
            <w:pPr>
              <w:pStyle w:val="null3"/>
            </w:pPr>
            <w:r>
              <w:rPr>
                <w:rFonts w:ascii="仿宋_GB2312" w:hAnsi="仿宋_GB2312" w:cs="仿宋_GB2312" w:eastAsia="仿宋_GB2312"/>
              </w:rPr>
              <w:t>（一）评审内容： （1）生物多样性保护方案（即野生动植物保护）； （2）环境保护方案。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（1）管理机构的配备计划及管理人员证书； （2）组织机构的岗位职责。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（1）紧急或突发情况的应急保障方案； （2）应急人员及设施设备安排计划。 （二）评审标准： （1）每项评审内容完整无缺陷得2分；未提供得0分；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2023年1月1日以来供应商有类似项目业绩的，每有一份得2分，最多得8分。 备注：供应商须提供合同文本复印件或扫描件。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详见附件：法定代表人身份证明书与法定代表人授权书.docx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