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57775">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both"/>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采购包1：</w:t>
      </w:r>
    </w:p>
    <w:p w14:paraId="4AA36330">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sz w:val="28"/>
          <w:szCs w:val="28"/>
        </w:rPr>
      </w:pPr>
    </w:p>
    <w:p w14:paraId="7133026B">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both"/>
        <w:textAlignment w:val="auto"/>
        <w:outlineLvl w:val="9"/>
        <w:rPr>
          <w:rFonts w:hint="eastAsia" w:ascii="仿宋" w:hAnsi="仿宋" w:eastAsia="仿宋" w:cs="仿宋"/>
          <w:sz w:val="28"/>
          <w:szCs w:val="28"/>
        </w:rPr>
      </w:pPr>
    </w:p>
    <w:p w14:paraId="022D78A4">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bCs/>
          <w:sz w:val="48"/>
          <w:szCs w:val="48"/>
          <w:lang w:val="en-US" w:eastAsia="zh-CN"/>
        </w:rPr>
      </w:pPr>
      <w:r>
        <w:rPr>
          <w:rFonts w:hint="eastAsia" w:ascii="仿宋" w:hAnsi="仿宋" w:eastAsia="仿宋" w:cs="仿宋"/>
          <w:b/>
          <w:bCs/>
          <w:sz w:val="48"/>
          <w:szCs w:val="48"/>
          <w:lang w:eastAsia="zh-CN"/>
        </w:rPr>
        <w:t>渭南市对外经济技术合作局</w:t>
      </w:r>
      <w:r>
        <w:rPr>
          <w:rFonts w:hint="eastAsia" w:ascii="仿宋" w:hAnsi="仿宋" w:eastAsia="仿宋" w:cs="仿宋"/>
          <w:b/>
          <w:bCs/>
          <w:sz w:val="48"/>
          <w:szCs w:val="48"/>
          <w:lang w:val="en-US" w:eastAsia="zh-CN"/>
        </w:rPr>
        <w:t>2026年第十届</w:t>
      </w:r>
    </w:p>
    <w:p w14:paraId="0BF9250C">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bCs/>
          <w:sz w:val="48"/>
          <w:szCs w:val="48"/>
          <w:lang w:eastAsia="zh-CN"/>
        </w:rPr>
      </w:pPr>
      <w:r>
        <w:rPr>
          <w:rFonts w:hint="eastAsia" w:ascii="仿宋" w:hAnsi="仿宋" w:eastAsia="仿宋" w:cs="仿宋"/>
          <w:b/>
          <w:bCs/>
          <w:sz w:val="48"/>
          <w:szCs w:val="48"/>
          <w:lang w:val="en-US" w:eastAsia="zh-CN"/>
        </w:rPr>
        <w:t>丝博会组展布展采购</w:t>
      </w:r>
      <w:r>
        <w:rPr>
          <w:rFonts w:hint="eastAsia" w:ascii="仿宋" w:hAnsi="仿宋" w:eastAsia="仿宋" w:cs="仿宋"/>
          <w:b/>
          <w:bCs/>
          <w:sz w:val="48"/>
          <w:szCs w:val="48"/>
          <w:lang w:eastAsia="zh-CN"/>
        </w:rPr>
        <w:t>项目</w:t>
      </w:r>
    </w:p>
    <w:p w14:paraId="2058D995">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sz w:val="48"/>
          <w:szCs w:val="48"/>
          <w:highlight w:val="none"/>
          <w:lang w:val="en-US" w:eastAsia="zh-CN"/>
        </w:rPr>
      </w:pPr>
    </w:p>
    <w:p w14:paraId="7EA4DF43">
      <w:pPr>
        <w:pStyle w:val="11"/>
        <w:keepNext w:val="0"/>
        <w:keepLines w:val="0"/>
        <w:pageBreakBefore w:val="0"/>
        <w:kinsoku/>
        <w:wordWrap/>
        <w:overflowPunct/>
        <w:topLinePunct w:val="0"/>
        <w:bidi w:val="0"/>
        <w:spacing w:line="500" w:lineRule="exact"/>
        <w:ind w:firstLine="0"/>
        <w:jc w:val="both"/>
        <w:outlineLvl w:val="9"/>
        <w:rPr>
          <w:rFonts w:hint="eastAsia" w:ascii="仿宋" w:hAnsi="仿宋" w:eastAsia="仿宋" w:cs="仿宋"/>
          <w:b/>
          <w:sz w:val="24"/>
          <w:highlight w:val="none"/>
        </w:rPr>
      </w:pPr>
    </w:p>
    <w:p w14:paraId="50F731DA">
      <w:pPr>
        <w:keepNext w:val="0"/>
        <w:keepLines w:val="0"/>
        <w:pageBreakBefore w:val="0"/>
        <w:kinsoku/>
        <w:wordWrap/>
        <w:overflowPunct/>
        <w:topLinePunct w:val="0"/>
        <w:bidi w:val="0"/>
        <w:spacing w:line="500" w:lineRule="exact"/>
        <w:jc w:val="center"/>
        <w:outlineLvl w:val="9"/>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7855CCCE">
      <w:pPr>
        <w:pStyle w:val="6"/>
        <w:keepNext w:val="0"/>
        <w:keepLines w:val="0"/>
        <w:pageBreakBefore w:val="0"/>
        <w:kinsoku/>
        <w:wordWrap/>
        <w:overflowPunct/>
        <w:topLinePunct w:val="0"/>
        <w:bidi w:val="0"/>
        <w:spacing w:line="500" w:lineRule="exact"/>
        <w:outlineLvl w:val="9"/>
        <w:rPr>
          <w:highlight w:val="none"/>
        </w:rPr>
      </w:pPr>
    </w:p>
    <w:p w14:paraId="262F52F2">
      <w:pPr>
        <w:keepNext w:val="0"/>
        <w:keepLines w:val="0"/>
        <w:pageBreakBefore w:val="0"/>
        <w:kinsoku/>
        <w:wordWrap/>
        <w:overflowPunct/>
        <w:topLinePunct w:val="0"/>
        <w:bidi w:val="0"/>
        <w:spacing w:line="500" w:lineRule="exact"/>
        <w:outlineLvl w:val="9"/>
        <w:rPr>
          <w:highlight w:val="none"/>
        </w:rPr>
      </w:pPr>
    </w:p>
    <w:p w14:paraId="59627CD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5D367561">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outlineLvl w:val="9"/>
        <w:rPr>
          <w:rFonts w:hint="eastAsia" w:ascii="仿宋" w:hAnsi="仿宋" w:eastAsia="仿宋" w:cs="仿宋"/>
          <w:b/>
          <w:bCs/>
          <w:highlight w:val="none"/>
        </w:rPr>
      </w:pPr>
      <w:r>
        <w:rPr>
          <w:rFonts w:hint="eastAsia" w:ascii="仿宋" w:hAnsi="仿宋" w:eastAsia="仿宋" w:cs="仿宋"/>
          <w:b/>
          <w:bCs/>
          <w:sz w:val="28"/>
          <w:szCs w:val="22"/>
          <w:highlight w:val="none"/>
          <w:lang w:eastAsia="zh-CN"/>
        </w:rPr>
        <w:t>（</w:t>
      </w:r>
      <w:r>
        <w:rPr>
          <w:rFonts w:hint="eastAsia" w:ascii="仿宋" w:hAnsi="仿宋" w:eastAsia="仿宋" w:cs="仿宋"/>
          <w:b/>
          <w:bCs/>
          <w:sz w:val="28"/>
          <w:szCs w:val="22"/>
          <w:highlight w:val="none"/>
          <w:lang w:val="en-US" w:eastAsia="zh-CN"/>
        </w:rPr>
        <w:t>本格式条款为合同基础条款，甲乙双方可根据项目实际情况增加条款和内容</w:t>
      </w:r>
      <w:r>
        <w:rPr>
          <w:rFonts w:hint="eastAsia" w:ascii="仿宋" w:hAnsi="仿宋" w:eastAsia="仿宋" w:cs="仿宋"/>
          <w:b/>
          <w:bCs/>
          <w:sz w:val="28"/>
          <w:szCs w:val="22"/>
          <w:highlight w:val="none"/>
          <w:lang w:eastAsia="zh-CN"/>
        </w:rPr>
        <w:t>）</w:t>
      </w:r>
    </w:p>
    <w:p w14:paraId="084E1D10">
      <w:pPr>
        <w:pStyle w:val="3"/>
        <w:keepNext w:val="0"/>
        <w:keepLines w:val="0"/>
        <w:pageBreakBefore w:val="0"/>
        <w:kinsoku/>
        <w:wordWrap/>
        <w:overflowPunct/>
        <w:topLinePunct w:val="0"/>
        <w:bidi w:val="0"/>
        <w:spacing w:line="500" w:lineRule="exact"/>
        <w:ind w:left="0" w:leftChars="0"/>
        <w:outlineLvl w:val="9"/>
        <w:rPr>
          <w:highlight w:val="none"/>
        </w:rPr>
      </w:pPr>
    </w:p>
    <w:p w14:paraId="3924DEF2">
      <w:pPr>
        <w:keepNext w:val="0"/>
        <w:keepLines w:val="0"/>
        <w:pageBreakBefore w:val="0"/>
        <w:kinsoku/>
        <w:wordWrap/>
        <w:overflowPunct/>
        <w:topLinePunct w:val="0"/>
        <w:bidi w:val="0"/>
        <w:spacing w:line="500" w:lineRule="exact"/>
        <w:outlineLvl w:val="9"/>
        <w:rPr>
          <w:highlight w:val="none"/>
        </w:rPr>
      </w:pPr>
    </w:p>
    <w:p w14:paraId="08BD8D74">
      <w:pPr>
        <w:keepNext w:val="0"/>
        <w:keepLines w:val="0"/>
        <w:pageBreakBefore w:val="0"/>
        <w:kinsoku/>
        <w:wordWrap/>
        <w:overflowPunct/>
        <w:topLinePunct w:val="0"/>
        <w:bidi w:val="0"/>
        <w:spacing w:line="500" w:lineRule="exact"/>
        <w:outlineLvl w:val="9"/>
        <w:rPr>
          <w:highlight w:val="none"/>
        </w:rPr>
      </w:pPr>
    </w:p>
    <w:p w14:paraId="6796DA7C">
      <w:pPr>
        <w:pStyle w:val="2"/>
        <w:keepNext w:val="0"/>
        <w:keepLines w:val="0"/>
        <w:pageBreakBefore w:val="0"/>
        <w:kinsoku/>
        <w:wordWrap/>
        <w:overflowPunct/>
        <w:topLinePunct w:val="0"/>
        <w:bidi w:val="0"/>
        <w:spacing w:line="500" w:lineRule="exact"/>
        <w:outlineLvl w:val="9"/>
        <w:rPr>
          <w:highlight w:val="none"/>
        </w:rPr>
      </w:pPr>
    </w:p>
    <w:p w14:paraId="0F65B4CA">
      <w:pPr>
        <w:keepNext w:val="0"/>
        <w:keepLines w:val="0"/>
        <w:pageBreakBefore w:val="0"/>
        <w:kinsoku/>
        <w:wordWrap/>
        <w:overflowPunct/>
        <w:topLinePunct w:val="0"/>
        <w:bidi w:val="0"/>
        <w:spacing w:line="500" w:lineRule="exact"/>
        <w:outlineLvl w:val="9"/>
        <w:rPr>
          <w:highlight w:val="none"/>
        </w:rPr>
      </w:pPr>
    </w:p>
    <w:p w14:paraId="76C57231">
      <w:pPr>
        <w:keepNext w:val="0"/>
        <w:keepLines w:val="0"/>
        <w:pageBreakBefore w:val="0"/>
        <w:kinsoku/>
        <w:wordWrap/>
        <w:overflowPunct/>
        <w:topLinePunct w:val="0"/>
        <w:bidi w:val="0"/>
        <w:spacing w:line="500" w:lineRule="exact"/>
        <w:outlineLvl w:val="9"/>
        <w:rPr>
          <w:highlight w:val="none"/>
        </w:rPr>
      </w:pPr>
    </w:p>
    <w:p w14:paraId="007FF0DC">
      <w:pPr>
        <w:pStyle w:val="2"/>
        <w:keepNext w:val="0"/>
        <w:keepLines w:val="0"/>
        <w:pageBreakBefore w:val="0"/>
        <w:kinsoku/>
        <w:wordWrap/>
        <w:overflowPunct/>
        <w:topLinePunct w:val="0"/>
        <w:bidi w:val="0"/>
        <w:spacing w:line="500" w:lineRule="exact"/>
        <w:outlineLvl w:val="9"/>
        <w:rPr>
          <w:highlight w:val="none"/>
        </w:rPr>
      </w:pPr>
    </w:p>
    <w:p w14:paraId="530EB66E">
      <w:pPr>
        <w:keepNext w:val="0"/>
        <w:keepLines w:val="0"/>
        <w:pageBreakBefore w:val="0"/>
        <w:kinsoku/>
        <w:wordWrap/>
        <w:overflowPunct/>
        <w:topLinePunct w:val="0"/>
        <w:bidi w:val="0"/>
        <w:spacing w:line="500" w:lineRule="exact"/>
        <w:ind w:left="1469" w:hanging="1469" w:hangingChars="400"/>
        <w:outlineLvl w:val="9"/>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363861CC">
      <w:pPr>
        <w:keepNext w:val="0"/>
        <w:keepLines w:val="0"/>
        <w:pageBreakBefore w:val="0"/>
        <w:kinsoku/>
        <w:wordWrap/>
        <w:overflowPunct/>
        <w:topLinePunct w:val="0"/>
        <w:bidi w:val="0"/>
        <w:spacing w:line="500" w:lineRule="exact"/>
        <w:ind w:left="1469" w:hanging="1469" w:hangingChars="400"/>
        <w:outlineLvl w:val="9"/>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1D05612D">
      <w:pPr>
        <w:pStyle w:val="5"/>
        <w:keepNext w:val="0"/>
        <w:keepLines w:val="0"/>
        <w:pageBreakBefore w:val="0"/>
        <w:kinsoku/>
        <w:wordWrap/>
        <w:overflowPunct/>
        <w:topLinePunct w:val="0"/>
        <w:bidi w:val="0"/>
        <w:adjustRightInd w:val="0"/>
        <w:spacing w:line="500" w:lineRule="exact"/>
        <w:outlineLvl w:val="9"/>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28DFCE58">
      <w:pPr>
        <w:keepNext w:val="0"/>
        <w:keepLines w:val="0"/>
        <w:pageBreakBefore w:val="0"/>
        <w:widowControl/>
        <w:kinsoku/>
        <w:wordWrap/>
        <w:overflowPunct/>
        <w:topLinePunct w:val="0"/>
        <w:bidi w:val="0"/>
        <w:spacing w:line="500" w:lineRule="exact"/>
        <w:jc w:val="center"/>
        <w:outlineLvl w:val="9"/>
        <w:rPr>
          <w:rFonts w:hint="eastAsia" w:ascii="仿宋" w:hAnsi="仿宋" w:eastAsia="仿宋" w:cs="仿宋"/>
          <w:b/>
          <w:sz w:val="32"/>
          <w:szCs w:val="32"/>
          <w:highlight w:val="none"/>
          <w:lang w:bidi="ar"/>
        </w:rPr>
        <w:sectPr>
          <w:footnotePr>
            <w:numFmt w:val="decimalEnclosedCircleChinese"/>
          </w:footnotePr>
          <w:pgSz w:w="11906" w:h="16838"/>
          <w:pgMar w:top="1440" w:right="1080" w:bottom="1440" w:left="1080" w:header="850" w:footer="964" w:gutter="0"/>
          <w:cols w:space="720" w:num="1"/>
          <w:docGrid w:linePitch="312" w:charSpace="0"/>
        </w:sectPr>
      </w:pPr>
    </w:p>
    <w:p w14:paraId="24138B14">
      <w:pPr>
        <w:keepNext w:val="0"/>
        <w:keepLines w:val="0"/>
        <w:pageBreakBefore w:val="0"/>
        <w:widowControl w:val="0"/>
        <w:kinsoku/>
        <w:wordWrap/>
        <w:overflowPunct/>
        <w:topLinePunct w:val="0"/>
        <w:autoSpaceDE/>
        <w:autoSpaceDN/>
        <w:bidi w:val="0"/>
        <w:spacing w:line="500" w:lineRule="exact"/>
        <w:ind w:firstLine="723" w:firstLineChars="200"/>
        <w:jc w:val="center"/>
        <w:outlineLvl w:val="9"/>
        <w:rPr>
          <w:rFonts w:hint="eastAsia" w:ascii="仿宋" w:hAnsi="仿宋" w:eastAsia="仿宋" w:cs="仿宋"/>
          <w:b/>
          <w:color w:val="000000"/>
          <w:sz w:val="36"/>
          <w:szCs w:val="36"/>
          <w:highlight w:val="none"/>
          <w:lang w:bidi="ar"/>
        </w:rPr>
      </w:pPr>
      <w:r>
        <w:rPr>
          <w:rFonts w:hint="eastAsia" w:ascii="仿宋" w:hAnsi="仿宋" w:eastAsia="仿宋" w:cs="仿宋"/>
          <w:b/>
          <w:color w:val="000000"/>
          <w:sz w:val="36"/>
          <w:szCs w:val="36"/>
          <w:highlight w:val="none"/>
          <w:lang w:bidi="ar"/>
        </w:rPr>
        <w:t>合同范本</w:t>
      </w:r>
    </w:p>
    <w:p w14:paraId="510AEDA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甲方（采购人）：</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414B9A3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乙方（供应商）：</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0AA8B4C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甲乙双方根据</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政府采购项目（项目编号：</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）采购结果及相关竞争性磋商文件、竞争性磋商响应文件，经协商一致，订立本合同，供双方共同遵守：</w:t>
      </w:r>
    </w:p>
    <w:p w14:paraId="25FBB4BD">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第一条 </w:t>
      </w:r>
      <w:r>
        <w:rPr>
          <w:rFonts w:hint="eastAsia" w:ascii="仿宋" w:hAnsi="仿宋" w:eastAsia="仿宋" w:cs="仿宋"/>
          <w:b/>
          <w:bCs w:val="0"/>
          <w:color w:val="000000"/>
          <w:sz w:val="28"/>
          <w:szCs w:val="28"/>
          <w:highlight w:val="none"/>
          <w:lang w:bidi="ar"/>
        </w:rPr>
        <w:t>项目概况</w:t>
      </w:r>
    </w:p>
    <w:p w14:paraId="39E15BCB">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5D5C1E15">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7E394C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3362EBC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7AC5014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val="zh-CN" w:bidi="ar"/>
        </w:rPr>
        <w:t>服务期限</w:t>
      </w:r>
    </w:p>
    <w:p w14:paraId="50BF10F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u w:val="none"/>
          <w:lang w:bidi="ar"/>
        </w:rPr>
      </w:pPr>
      <w:r>
        <w:rPr>
          <w:rFonts w:hint="eastAsia" w:ascii="仿宋" w:hAnsi="仿宋" w:eastAsia="仿宋" w:cs="仿宋"/>
          <w:sz w:val="28"/>
          <w:szCs w:val="28"/>
          <w:highlight w:val="none"/>
          <w:lang w:val="zh-CN"/>
        </w:rPr>
        <w:t>合同签订后至丝博会结束。</w:t>
      </w:r>
    </w:p>
    <w:p w14:paraId="760ED5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三</w:t>
      </w:r>
      <w:r>
        <w:rPr>
          <w:rFonts w:hint="eastAsia" w:ascii="仿宋" w:hAnsi="仿宋" w:eastAsia="仿宋" w:cs="仿宋"/>
          <w:b/>
          <w:sz w:val="28"/>
          <w:szCs w:val="28"/>
          <w:highlight w:val="none"/>
          <w:lang w:bidi="ar"/>
        </w:rPr>
        <w:t>条  费用的结算</w:t>
      </w:r>
    </w:p>
    <w:p w14:paraId="0DD860FA">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销售发票</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、甲方出具的验收报告。</w:t>
      </w:r>
    </w:p>
    <w:p w14:paraId="60836643">
      <w:pPr>
        <w:pStyle w:val="10"/>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sz w:val="28"/>
          <w:szCs w:val="28"/>
          <w:highlight w:val="none"/>
          <w:lang w:eastAsia="zh-CN"/>
        </w:rPr>
        <w:t>签订合同出具项目方案，经采购人和执行单位确认</w:t>
      </w:r>
      <w:r>
        <w:rPr>
          <w:rFonts w:hint="eastAsia" w:ascii="仿宋" w:hAnsi="仿宋" w:eastAsia="仿宋" w:cs="仿宋"/>
          <w:sz w:val="28"/>
          <w:szCs w:val="28"/>
          <w:highlight w:val="none"/>
        </w:rPr>
        <w:t>，达到付款条件起</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日内，支付合同总金额的</w:t>
      </w:r>
      <w:r>
        <w:rPr>
          <w:rFonts w:hint="eastAsia" w:ascii="仿宋" w:hAnsi="仿宋" w:eastAsia="仿宋" w:cs="仿宋"/>
          <w:sz w:val="28"/>
          <w:szCs w:val="28"/>
          <w:highlight w:val="none"/>
          <w:lang w:val="en-US" w:eastAsia="zh-CN"/>
        </w:rPr>
        <w:t>70</w:t>
      </w:r>
      <w:r>
        <w:rPr>
          <w:rFonts w:hint="eastAsia" w:ascii="仿宋" w:hAnsi="仿宋" w:eastAsia="仿宋" w:cs="仿宋"/>
          <w:sz w:val="28"/>
          <w:szCs w:val="28"/>
          <w:highlight w:val="none"/>
        </w:rPr>
        <w:t>.00%。</w:t>
      </w:r>
      <w:r>
        <w:rPr>
          <w:rFonts w:hint="eastAsia" w:ascii="仿宋" w:hAnsi="仿宋" w:eastAsia="仿宋" w:cs="仿宋"/>
          <w:b w:val="0"/>
          <w:bCs w:val="0"/>
          <w:color w:val="000000"/>
          <w:sz w:val="28"/>
          <w:szCs w:val="28"/>
          <w:highlight w:val="none"/>
          <w:u w:val="none"/>
          <w:lang w:eastAsia="zh-CN" w:bidi="ar"/>
        </w:rPr>
        <w:t>项目完成并验收合格后</w:t>
      </w:r>
      <w:r>
        <w:rPr>
          <w:rFonts w:hint="eastAsia" w:ascii="仿宋" w:hAnsi="仿宋" w:eastAsia="仿宋" w:cs="仿宋"/>
          <w:sz w:val="28"/>
          <w:szCs w:val="28"/>
          <w:highlight w:val="none"/>
        </w:rPr>
        <w:t>，达到付款条件起</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日内，支付合同总金额的</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.00%。</w:t>
      </w:r>
    </w:p>
    <w:p w14:paraId="33CC4E6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eastAsia="zh-CN"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服务质量</w:t>
      </w:r>
    </w:p>
    <w:p w14:paraId="5307F194">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val="zh-CN" w:bidi="ar"/>
        </w:rPr>
      </w:pPr>
      <w:r>
        <w:rPr>
          <w:rFonts w:hint="eastAsia" w:ascii="仿宋" w:hAnsi="仿宋" w:eastAsia="仿宋" w:cs="仿宋"/>
          <w:bCs/>
          <w:sz w:val="28"/>
          <w:szCs w:val="28"/>
          <w:highlight w:val="none"/>
          <w:lang w:val="zh-CN" w:bidi="ar"/>
        </w:rPr>
        <w:t>服务质量必须达到甲方竞争性磋商文件和乙方竞争性磋商响应文件的标准。</w:t>
      </w:r>
    </w:p>
    <w:p w14:paraId="75ABD0C9">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sz w:val="28"/>
          <w:szCs w:val="28"/>
          <w:highlight w:val="none"/>
          <w:lang w:eastAsia="zh-CN" w:bidi="ar"/>
        </w:rPr>
        <w:t>第五条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color w:val="auto"/>
          <w:sz w:val="28"/>
          <w:szCs w:val="28"/>
          <w:highlight w:val="none"/>
        </w:rPr>
        <w:t>安全施工</w:t>
      </w:r>
    </w:p>
    <w:p w14:paraId="610D95B6">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val="zh-CN" w:bidi="ar"/>
        </w:rPr>
      </w:pPr>
      <w:r>
        <w:rPr>
          <w:rFonts w:hint="eastAsia" w:ascii="仿宋" w:hAnsi="仿宋" w:eastAsia="仿宋" w:cs="仿宋"/>
          <w:bCs/>
          <w:sz w:val="28"/>
          <w:szCs w:val="28"/>
          <w:highlight w:val="none"/>
          <w:lang w:val="zh-CN" w:bidi="ar"/>
        </w:rPr>
        <w:t>乙方应遵守工程建设安全生产有关管理规定，严格按安全标准组织施工，采取必要的安全防护措施，消除事故隐患。由于乙方安全措施不力造成事故的责任和因此发生的费用，由乙方承担。</w:t>
      </w:r>
    </w:p>
    <w:p w14:paraId="7BB4FB5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六</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F2E9F2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6BFD539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081D000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七</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32DAF8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6F3F4E8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val="en-US" w:eastAsia="zh-CN" w:bidi="ar"/>
        </w:rPr>
        <w:t>成果</w:t>
      </w:r>
      <w:r>
        <w:rPr>
          <w:rFonts w:hint="eastAsia" w:ascii="仿宋" w:hAnsi="仿宋" w:eastAsia="仿宋" w:cs="仿宋"/>
          <w:bCs/>
          <w:sz w:val="28"/>
          <w:szCs w:val="28"/>
          <w:highlight w:val="none"/>
          <w:lang w:bidi="ar"/>
        </w:rPr>
        <w:t>不符合国家法律法规和合同规定的，甲方有权拒收，并由乙方承担一切费用。</w:t>
      </w:r>
    </w:p>
    <w:p w14:paraId="4A69C639">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0D4195E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D5156F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争议解决</w:t>
      </w:r>
    </w:p>
    <w:p w14:paraId="5630749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470E294D">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  监督和管理</w:t>
      </w:r>
    </w:p>
    <w:p w14:paraId="527B8B6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3E27C3A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6834AFF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7470F05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highlight w:val="none"/>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BB83B0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十二</w:t>
      </w:r>
      <w:r>
        <w:rPr>
          <w:rFonts w:hint="eastAsia" w:ascii="仿宋" w:hAnsi="仿宋" w:eastAsia="仿宋" w:cs="仿宋"/>
          <w:b/>
          <w:sz w:val="28"/>
          <w:szCs w:val="28"/>
          <w:highlight w:val="none"/>
          <w:lang w:bidi="ar"/>
        </w:rPr>
        <w:t>条附则</w:t>
      </w:r>
    </w:p>
    <w:p w14:paraId="680C39E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79A286FF">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p>
    <w:p w14:paraId="345EBB2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DD29D0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实施</w:t>
      </w:r>
      <w:r>
        <w:rPr>
          <w:rFonts w:hint="eastAsia" w:ascii="仿宋" w:hAnsi="仿宋" w:eastAsia="仿宋" w:cs="仿宋"/>
          <w:sz w:val="28"/>
          <w:szCs w:val="28"/>
          <w:highlight w:val="none"/>
        </w:rPr>
        <w:t>方案）</w:t>
      </w:r>
    </w:p>
    <w:p w14:paraId="5B9A363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404D9DF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p>
    <w:p w14:paraId="546CF51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EF5932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0F63CA03">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70071C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4EE2EB8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B8C3C9E">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1B3B2C31">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55D470E3">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62B4DB6B">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27F7E2D7">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41680876">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221FD799">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74238402">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3087D8B3">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258AB043">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77B096A4">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1F0AC7D9">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7B0891B8">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3D42574E">
      <w:pPr>
        <w:pStyle w:val="10"/>
        <w:keepNext w:val="0"/>
        <w:keepLines w:val="0"/>
        <w:pageBreakBefore w:val="0"/>
        <w:kinsoku/>
        <w:wordWrap/>
        <w:overflowPunct/>
        <w:topLinePunct w:val="0"/>
        <w:bidi w:val="0"/>
        <w:spacing w:line="500" w:lineRule="exact"/>
        <w:ind w:firstLine="560" w:firstLineChars="200"/>
        <w:outlineLvl w:val="9"/>
        <w:rPr>
          <w:rFonts w:hint="eastAsia" w:ascii="仿宋" w:hAnsi="仿宋" w:eastAsia="仿宋" w:cs="仿宋"/>
          <w:bCs/>
          <w:sz w:val="28"/>
          <w:szCs w:val="28"/>
          <w:highlight w:val="none"/>
          <w:lang w:bidi="ar"/>
        </w:rPr>
      </w:pPr>
    </w:p>
    <w:p w14:paraId="43562C5C">
      <w:pPr>
        <w:pStyle w:val="10"/>
        <w:keepNext w:val="0"/>
        <w:keepLines w:val="0"/>
        <w:pageBreakBefore w:val="0"/>
        <w:kinsoku/>
        <w:wordWrap/>
        <w:overflowPunct/>
        <w:topLinePunct w:val="0"/>
        <w:bidi w:val="0"/>
        <w:spacing w:line="500" w:lineRule="exact"/>
        <w:outlineLvl w:val="9"/>
        <w:rPr>
          <w:rFonts w:hint="eastAsia" w:ascii="仿宋" w:hAnsi="仿宋" w:eastAsia="仿宋" w:cs="仿宋"/>
          <w:bCs/>
          <w:sz w:val="28"/>
          <w:szCs w:val="28"/>
          <w:highlight w:val="none"/>
          <w:lang w:bidi="ar"/>
        </w:rPr>
      </w:pPr>
    </w:p>
    <w:p w14:paraId="22286040">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sz w:val="28"/>
          <w:szCs w:val="28"/>
          <w:lang w:val="en-US" w:eastAsia="zh-CN"/>
        </w:rPr>
      </w:pPr>
    </w:p>
    <w:p w14:paraId="6CF6D591">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采购包2：</w:t>
      </w:r>
    </w:p>
    <w:p w14:paraId="40383F7E">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sz w:val="28"/>
          <w:szCs w:val="28"/>
          <w:lang w:val="en-US" w:eastAsia="zh-CN"/>
        </w:rPr>
      </w:pPr>
    </w:p>
    <w:p w14:paraId="486247B1">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sz w:val="28"/>
          <w:szCs w:val="28"/>
          <w:lang w:val="en-US" w:eastAsia="zh-CN"/>
        </w:rPr>
      </w:pPr>
    </w:p>
    <w:p w14:paraId="4E2556B2">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sz w:val="28"/>
          <w:szCs w:val="28"/>
          <w:lang w:val="en-US" w:eastAsia="zh-CN"/>
        </w:rPr>
      </w:pPr>
    </w:p>
    <w:p w14:paraId="7B5DECB4">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bCs/>
          <w:sz w:val="48"/>
          <w:szCs w:val="48"/>
          <w:lang w:val="en-US" w:eastAsia="zh-CN"/>
        </w:rPr>
      </w:pPr>
      <w:r>
        <w:rPr>
          <w:rFonts w:hint="eastAsia" w:ascii="仿宋" w:hAnsi="仿宋" w:eastAsia="仿宋" w:cs="仿宋"/>
          <w:b/>
          <w:bCs/>
          <w:sz w:val="48"/>
          <w:szCs w:val="48"/>
          <w:lang w:eastAsia="zh-CN"/>
        </w:rPr>
        <w:t>渭南市对外经济技术合作局</w:t>
      </w:r>
      <w:r>
        <w:rPr>
          <w:rFonts w:hint="eastAsia" w:ascii="仿宋" w:hAnsi="仿宋" w:eastAsia="仿宋" w:cs="仿宋"/>
          <w:b/>
          <w:bCs/>
          <w:sz w:val="48"/>
          <w:szCs w:val="48"/>
          <w:lang w:val="en-US" w:eastAsia="zh-CN"/>
        </w:rPr>
        <w:t>2026年第十届</w:t>
      </w:r>
    </w:p>
    <w:p w14:paraId="57620DE6">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bCs/>
          <w:sz w:val="48"/>
          <w:szCs w:val="48"/>
          <w:lang w:eastAsia="zh-CN"/>
        </w:rPr>
      </w:pPr>
      <w:r>
        <w:rPr>
          <w:rFonts w:hint="eastAsia" w:ascii="仿宋" w:hAnsi="仿宋" w:eastAsia="仿宋" w:cs="仿宋"/>
          <w:b/>
          <w:bCs/>
          <w:sz w:val="48"/>
          <w:szCs w:val="48"/>
          <w:lang w:val="en-US" w:eastAsia="zh-CN"/>
        </w:rPr>
        <w:t>丝博会组展布展采购</w:t>
      </w:r>
      <w:r>
        <w:rPr>
          <w:rFonts w:hint="eastAsia" w:ascii="仿宋" w:hAnsi="仿宋" w:eastAsia="仿宋" w:cs="仿宋"/>
          <w:b/>
          <w:bCs/>
          <w:sz w:val="48"/>
          <w:szCs w:val="48"/>
          <w:lang w:eastAsia="zh-CN"/>
        </w:rPr>
        <w:t>项目</w:t>
      </w:r>
    </w:p>
    <w:p w14:paraId="6EDFCB15">
      <w:pPr>
        <w:pStyle w:val="11"/>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sz w:val="48"/>
          <w:szCs w:val="48"/>
          <w:highlight w:val="none"/>
          <w:lang w:val="en-US" w:eastAsia="zh-CN"/>
        </w:rPr>
      </w:pPr>
    </w:p>
    <w:p w14:paraId="7F8EA2E1">
      <w:pPr>
        <w:pStyle w:val="11"/>
        <w:keepNext w:val="0"/>
        <w:keepLines w:val="0"/>
        <w:pageBreakBefore w:val="0"/>
        <w:kinsoku/>
        <w:wordWrap/>
        <w:overflowPunct/>
        <w:topLinePunct w:val="0"/>
        <w:bidi w:val="0"/>
        <w:spacing w:line="500" w:lineRule="exact"/>
        <w:ind w:firstLine="0"/>
        <w:jc w:val="both"/>
        <w:outlineLvl w:val="9"/>
        <w:rPr>
          <w:rFonts w:hint="eastAsia" w:ascii="仿宋" w:hAnsi="仿宋" w:eastAsia="仿宋" w:cs="仿宋"/>
          <w:b/>
          <w:sz w:val="24"/>
          <w:highlight w:val="none"/>
        </w:rPr>
      </w:pPr>
    </w:p>
    <w:p w14:paraId="09C14552">
      <w:pPr>
        <w:keepNext w:val="0"/>
        <w:keepLines w:val="0"/>
        <w:pageBreakBefore w:val="0"/>
        <w:kinsoku/>
        <w:wordWrap/>
        <w:overflowPunct/>
        <w:topLinePunct w:val="0"/>
        <w:bidi w:val="0"/>
        <w:spacing w:line="500" w:lineRule="exact"/>
        <w:jc w:val="center"/>
        <w:outlineLvl w:val="9"/>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1CC6A9B9">
      <w:pPr>
        <w:pStyle w:val="6"/>
        <w:keepNext w:val="0"/>
        <w:keepLines w:val="0"/>
        <w:pageBreakBefore w:val="0"/>
        <w:kinsoku/>
        <w:wordWrap/>
        <w:overflowPunct/>
        <w:topLinePunct w:val="0"/>
        <w:bidi w:val="0"/>
        <w:spacing w:line="500" w:lineRule="exact"/>
        <w:outlineLvl w:val="9"/>
        <w:rPr>
          <w:highlight w:val="none"/>
        </w:rPr>
      </w:pPr>
    </w:p>
    <w:p w14:paraId="41D97F59">
      <w:pPr>
        <w:keepNext w:val="0"/>
        <w:keepLines w:val="0"/>
        <w:pageBreakBefore w:val="0"/>
        <w:kinsoku/>
        <w:wordWrap/>
        <w:overflowPunct/>
        <w:topLinePunct w:val="0"/>
        <w:bidi w:val="0"/>
        <w:spacing w:line="500" w:lineRule="exact"/>
        <w:outlineLvl w:val="9"/>
        <w:rPr>
          <w:highlight w:val="none"/>
        </w:rPr>
      </w:pPr>
    </w:p>
    <w:p w14:paraId="66C4479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0C5F47BC">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outlineLvl w:val="9"/>
        <w:rPr>
          <w:rFonts w:hint="eastAsia" w:ascii="仿宋" w:hAnsi="仿宋" w:eastAsia="仿宋" w:cs="仿宋"/>
          <w:b/>
          <w:bCs/>
          <w:highlight w:val="none"/>
        </w:rPr>
      </w:pPr>
      <w:r>
        <w:rPr>
          <w:rFonts w:hint="eastAsia" w:ascii="仿宋" w:hAnsi="仿宋" w:eastAsia="仿宋" w:cs="仿宋"/>
          <w:b/>
          <w:bCs/>
          <w:sz w:val="28"/>
          <w:szCs w:val="22"/>
          <w:highlight w:val="none"/>
          <w:lang w:eastAsia="zh-CN"/>
        </w:rPr>
        <w:t>（</w:t>
      </w:r>
      <w:r>
        <w:rPr>
          <w:rFonts w:hint="eastAsia" w:ascii="仿宋" w:hAnsi="仿宋" w:eastAsia="仿宋" w:cs="仿宋"/>
          <w:b/>
          <w:bCs/>
          <w:sz w:val="28"/>
          <w:szCs w:val="22"/>
          <w:highlight w:val="none"/>
          <w:lang w:val="en-US" w:eastAsia="zh-CN"/>
        </w:rPr>
        <w:t>本格式条款为合同基础条款，甲乙双方可根据项目实际情况增加条款和内容</w:t>
      </w:r>
      <w:r>
        <w:rPr>
          <w:rFonts w:hint="eastAsia" w:ascii="仿宋" w:hAnsi="仿宋" w:eastAsia="仿宋" w:cs="仿宋"/>
          <w:b/>
          <w:bCs/>
          <w:sz w:val="28"/>
          <w:szCs w:val="22"/>
          <w:highlight w:val="none"/>
          <w:lang w:eastAsia="zh-CN"/>
        </w:rPr>
        <w:t>）</w:t>
      </w:r>
    </w:p>
    <w:p w14:paraId="2934D7F9">
      <w:pPr>
        <w:pStyle w:val="3"/>
        <w:keepNext w:val="0"/>
        <w:keepLines w:val="0"/>
        <w:pageBreakBefore w:val="0"/>
        <w:kinsoku/>
        <w:wordWrap/>
        <w:overflowPunct/>
        <w:topLinePunct w:val="0"/>
        <w:bidi w:val="0"/>
        <w:spacing w:line="500" w:lineRule="exact"/>
        <w:ind w:left="0" w:leftChars="0"/>
        <w:outlineLvl w:val="9"/>
        <w:rPr>
          <w:highlight w:val="none"/>
        </w:rPr>
      </w:pPr>
    </w:p>
    <w:p w14:paraId="3FEF065C">
      <w:pPr>
        <w:keepNext w:val="0"/>
        <w:keepLines w:val="0"/>
        <w:pageBreakBefore w:val="0"/>
        <w:kinsoku/>
        <w:wordWrap/>
        <w:overflowPunct/>
        <w:topLinePunct w:val="0"/>
        <w:bidi w:val="0"/>
        <w:spacing w:line="500" w:lineRule="exact"/>
        <w:outlineLvl w:val="9"/>
        <w:rPr>
          <w:highlight w:val="none"/>
        </w:rPr>
      </w:pPr>
    </w:p>
    <w:p w14:paraId="3607EB5B">
      <w:pPr>
        <w:keepNext w:val="0"/>
        <w:keepLines w:val="0"/>
        <w:pageBreakBefore w:val="0"/>
        <w:kinsoku/>
        <w:wordWrap/>
        <w:overflowPunct/>
        <w:topLinePunct w:val="0"/>
        <w:bidi w:val="0"/>
        <w:spacing w:line="500" w:lineRule="exact"/>
        <w:outlineLvl w:val="9"/>
        <w:rPr>
          <w:highlight w:val="none"/>
        </w:rPr>
      </w:pPr>
    </w:p>
    <w:p w14:paraId="1BB9CD5B">
      <w:pPr>
        <w:pStyle w:val="2"/>
        <w:keepNext w:val="0"/>
        <w:keepLines w:val="0"/>
        <w:pageBreakBefore w:val="0"/>
        <w:kinsoku/>
        <w:wordWrap/>
        <w:overflowPunct/>
        <w:topLinePunct w:val="0"/>
        <w:bidi w:val="0"/>
        <w:spacing w:line="500" w:lineRule="exact"/>
        <w:outlineLvl w:val="9"/>
        <w:rPr>
          <w:highlight w:val="none"/>
        </w:rPr>
      </w:pPr>
    </w:p>
    <w:p w14:paraId="68EF718C">
      <w:pPr>
        <w:keepNext w:val="0"/>
        <w:keepLines w:val="0"/>
        <w:pageBreakBefore w:val="0"/>
        <w:kinsoku/>
        <w:wordWrap/>
        <w:overflowPunct/>
        <w:topLinePunct w:val="0"/>
        <w:bidi w:val="0"/>
        <w:spacing w:line="500" w:lineRule="exact"/>
        <w:outlineLvl w:val="9"/>
        <w:rPr>
          <w:highlight w:val="none"/>
        </w:rPr>
      </w:pPr>
    </w:p>
    <w:p w14:paraId="2AA728E0">
      <w:pPr>
        <w:keepNext w:val="0"/>
        <w:keepLines w:val="0"/>
        <w:pageBreakBefore w:val="0"/>
        <w:kinsoku/>
        <w:wordWrap/>
        <w:overflowPunct/>
        <w:topLinePunct w:val="0"/>
        <w:bidi w:val="0"/>
        <w:spacing w:line="500" w:lineRule="exact"/>
        <w:outlineLvl w:val="9"/>
        <w:rPr>
          <w:highlight w:val="none"/>
        </w:rPr>
      </w:pPr>
    </w:p>
    <w:p w14:paraId="5737BFF1">
      <w:pPr>
        <w:pStyle w:val="2"/>
        <w:keepNext w:val="0"/>
        <w:keepLines w:val="0"/>
        <w:pageBreakBefore w:val="0"/>
        <w:kinsoku/>
        <w:wordWrap/>
        <w:overflowPunct/>
        <w:topLinePunct w:val="0"/>
        <w:bidi w:val="0"/>
        <w:spacing w:line="500" w:lineRule="exact"/>
        <w:outlineLvl w:val="9"/>
        <w:rPr>
          <w:highlight w:val="none"/>
        </w:rPr>
      </w:pPr>
    </w:p>
    <w:p w14:paraId="1B7C35C8">
      <w:pPr>
        <w:keepNext w:val="0"/>
        <w:keepLines w:val="0"/>
        <w:pageBreakBefore w:val="0"/>
        <w:kinsoku/>
        <w:wordWrap/>
        <w:overflowPunct/>
        <w:topLinePunct w:val="0"/>
        <w:bidi w:val="0"/>
        <w:spacing w:line="500" w:lineRule="exact"/>
        <w:ind w:left="1469" w:hanging="1469" w:hangingChars="400"/>
        <w:outlineLvl w:val="9"/>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680BC99E">
      <w:pPr>
        <w:keepNext w:val="0"/>
        <w:keepLines w:val="0"/>
        <w:pageBreakBefore w:val="0"/>
        <w:kinsoku/>
        <w:wordWrap/>
        <w:overflowPunct/>
        <w:topLinePunct w:val="0"/>
        <w:bidi w:val="0"/>
        <w:spacing w:line="500" w:lineRule="exact"/>
        <w:ind w:left="1469" w:hanging="1469" w:hangingChars="400"/>
        <w:outlineLvl w:val="9"/>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4D9D2B83">
      <w:pPr>
        <w:pStyle w:val="5"/>
        <w:keepNext w:val="0"/>
        <w:keepLines w:val="0"/>
        <w:pageBreakBefore w:val="0"/>
        <w:kinsoku/>
        <w:wordWrap/>
        <w:overflowPunct/>
        <w:topLinePunct w:val="0"/>
        <w:bidi w:val="0"/>
        <w:adjustRightInd w:val="0"/>
        <w:spacing w:line="500" w:lineRule="exact"/>
        <w:outlineLvl w:val="9"/>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5018B9B0">
      <w:pPr>
        <w:keepNext w:val="0"/>
        <w:keepLines w:val="0"/>
        <w:pageBreakBefore w:val="0"/>
        <w:widowControl/>
        <w:kinsoku/>
        <w:wordWrap/>
        <w:overflowPunct/>
        <w:topLinePunct w:val="0"/>
        <w:bidi w:val="0"/>
        <w:spacing w:line="500" w:lineRule="exact"/>
        <w:jc w:val="center"/>
        <w:outlineLvl w:val="9"/>
        <w:rPr>
          <w:rFonts w:hint="eastAsia" w:ascii="仿宋" w:hAnsi="仿宋" w:eastAsia="仿宋" w:cs="仿宋"/>
          <w:b/>
          <w:sz w:val="32"/>
          <w:szCs w:val="32"/>
          <w:highlight w:val="none"/>
          <w:lang w:bidi="ar"/>
        </w:rPr>
        <w:sectPr>
          <w:footnotePr>
            <w:numFmt w:val="decimalEnclosedCircleChinese"/>
          </w:footnotePr>
          <w:pgSz w:w="11906" w:h="16838"/>
          <w:pgMar w:top="1440" w:right="1080" w:bottom="1440" w:left="1080" w:header="850" w:footer="964" w:gutter="0"/>
          <w:cols w:space="720" w:num="1"/>
          <w:docGrid w:linePitch="312" w:charSpace="0"/>
        </w:sectPr>
      </w:pPr>
    </w:p>
    <w:p w14:paraId="732657AE">
      <w:pPr>
        <w:keepNext w:val="0"/>
        <w:keepLines w:val="0"/>
        <w:pageBreakBefore w:val="0"/>
        <w:widowControl w:val="0"/>
        <w:kinsoku/>
        <w:wordWrap/>
        <w:overflowPunct/>
        <w:topLinePunct w:val="0"/>
        <w:autoSpaceDE/>
        <w:autoSpaceDN/>
        <w:bidi w:val="0"/>
        <w:spacing w:line="500" w:lineRule="exact"/>
        <w:ind w:firstLine="723" w:firstLineChars="200"/>
        <w:jc w:val="center"/>
        <w:outlineLvl w:val="9"/>
        <w:rPr>
          <w:rFonts w:hint="eastAsia" w:ascii="仿宋" w:hAnsi="仿宋" w:eastAsia="仿宋" w:cs="仿宋"/>
          <w:b/>
          <w:color w:val="000000"/>
          <w:sz w:val="36"/>
          <w:szCs w:val="36"/>
          <w:highlight w:val="none"/>
          <w:lang w:bidi="ar"/>
        </w:rPr>
      </w:pPr>
      <w:r>
        <w:rPr>
          <w:rFonts w:hint="eastAsia" w:ascii="仿宋" w:hAnsi="仿宋" w:eastAsia="仿宋" w:cs="仿宋"/>
          <w:b/>
          <w:color w:val="000000"/>
          <w:sz w:val="36"/>
          <w:szCs w:val="36"/>
          <w:highlight w:val="none"/>
          <w:lang w:bidi="ar"/>
        </w:rPr>
        <w:t>合同范本</w:t>
      </w:r>
    </w:p>
    <w:p w14:paraId="0631D924">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甲方（采购人）：</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0DB7CE7C">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val="en-US" w:eastAsia="zh-CN" w:bidi="ar"/>
        </w:rPr>
      </w:pPr>
      <w:r>
        <w:rPr>
          <w:rFonts w:hint="eastAsia" w:ascii="仿宋" w:hAnsi="仿宋" w:eastAsia="仿宋" w:cs="仿宋"/>
          <w:bCs/>
          <w:color w:val="000000"/>
          <w:sz w:val="28"/>
          <w:szCs w:val="28"/>
          <w:highlight w:val="none"/>
          <w:lang w:bidi="ar"/>
        </w:rPr>
        <w:t>乙方（供应商）：</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w:t>
      </w:r>
    </w:p>
    <w:p w14:paraId="2396EC1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甲乙双方根据</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政府采购项目（项目编号：</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u w:val="single"/>
          <w:lang w:val="en-US" w:eastAsia="zh-CN" w:bidi="ar"/>
        </w:rPr>
        <w:t xml:space="preserve">      </w:t>
      </w:r>
      <w:r>
        <w:rPr>
          <w:rFonts w:hint="eastAsia" w:ascii="仿宋" w:hAnsi="仿宋" w:eastAsia="仿宋" w:cs="仿宋"/>
          <w:bCs/>
          <w:color w:val="000000"/>
          <w:sz w:val="28"/>
          <w:szCs w:val="28"/>
          <w:highlight w:val="none"/>
          <w:u w:val="single"/>
          <w:lang w:bidi="ar"/>
        </w:rPr>
        <w:t xml:space="preserve">  </w:t>
      </w:r>
      <w:r>
        <w:rPr>
          <w:rFonts w:hint="eastAsia" w:ascii="仿宋" w:hAnsi="仿宋" w:eastAsia="仿宋" w:cs="仿宋"/>
          <w:bCs/>
          <w:color w:val="000000"/>
          <w:sz w:val="28"/>
          <w:szCs w:val="28"/>
          <w:highlight w:val="none"/>
          <w:lang w:bidi="ar"/>
        </w:rPr>
        <w:t>）采购结果及相关竞争性磋商文件、竞争性磋商响应文件，经协商一致，订立本合同，供双方共同遵守：</w:t>
      </w:r>
    </w:p>
    <w:p w14:paraId="221E96E9">
      <w:pPr>
        <w:keepNext w:val="0"/>
        <w:keepLines w:val="0"/>
        <w:pageBreakBefore w:val="0"/>
        <w:widowControl/>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 xml:space="preserve">第一条 </w:t>
      </w:r>
      <w:r>
        <w:rPr>
          <w:rFonts w:hint="eastAsia" w:ascii="仿宋" w:hAnsi="仿宋" w:eastAsia="仿宋" w:cs="仿宋"/>
          <w:b/>
          <w:bCs w:val="0"/>
          <w:color w:val="000000"/>
          <w:sz w:val="28"/>
          <w:szCs w:val="28"/>
          <w:highlight w:val="none"/>
          <w:lang w:bidi="ar"/>
        </w:rPr>
        <w:t>项目概况</w:t>
      </w:r>
    </w:p>
    <w:p w14:paraId="30DF23F2">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服务内容：</w:t>
      </w:r>
      <w:r>
        <w:rPr>
          <w:rFonts w:hint="eastAsia" w:ascii="仿宋" w:hAnsi="仿宋" w:eastAsia="仿宋" w:cs="仿宋"/>
          <w:b w:val="0"/>
          <w:bCs/>
          <w:color w:val="000000"/>
          <w:sz w:val="28"/>
          <w:szCs w:val="28"/>
          <w:highlight w:val="none"/>
          <w:u w:val="single"/>
          <w:lang w:eastAsia="zh-CN" w:bidi="ar"/>
        </w:rPr>
        <w:t xml:space="preserve">              .</w:t>
      </w:r>
    </w:p>
    <w:p w14:paraId="41B6D734">
      <w:pPr>
        <w:keepNext w:val="0"/>
        <w:keepLines w:val="0"/>
        <w:pageBreakBefore w:val="0"/>
        <w:widowControl/>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000000"/>
          <w:sz w:val="28"/>
          <w:szCs w:val="28"/>
          <w:highlight w:val="none"/>
          <w:lang w:eastAsia="zh-CN" w:bidi="ar"/>
        </w:rPr>
      </w:pPr>
      <w:r>
        <w:rPr>
          <w:rFonts w:hint="eastAsia" w:ascii="仿宋" w:hAnsi="仿宋" w:eastAsia="仿宋" w:cs="仿宋"/>
          <w:b w:val="0"/>
          <w:bCs/>
          <w:color w:val="000000"/>
          <w:sz w:val="28"/>
          <w:szCs w:val="28"/>
          <w:highlight w:val="none"/>
          <w:lang w:eastAsia="zh-CN" w:bidi="ar"/>
        </w:rPr>
        <w:t>成交价格（含税）：</w:t>
      </w:r>
      <w:r>
        <w:rPr>
          <w:rFonts w:hint="eastAsia" w:ascii="仿宋" w:hAnsi="仿宋" w:eastAsia="仿宋" w:cs="仿宋"/>
          <w:b w:val="0"/>
          <w:bCs/>
          <w:color w:val="000000"/>
          <w:sz w:val="28"/>
          <w:szCs w:val="28"/>
          <w:highlight w:val="none"/>
          <w:u w:val="single"/>
          <w:lang w:eastAsia="zh-CN" w:bidi="ar"/>
        </w:rPr>
        <w:t xml:space="preserve">         </w:t>
      </w:r>
      <w:r>
        <w:rPr>
          <w:rFonts w:hint="eastAsia" w:ascii="仿宋" w:hAnsi="仿宋" w:eastAsia="仿宋" w:cs="仿宋"/>
          <w:b w:val="0"/>
          <w:bCs/>
          <w:color w:val="000000"/>
          <w:sz w:val="28"/>
          <w:szCs w:val="28"/>
          <w:highlight w:val="none"/>
          <w:lang w:eastAsia="zh-CN" w:bidi="ar"/>
        </w:rPr>
        <w:t>(金额单位：人民币元)</w:t>
      </w:r>
    </w:p>
    <w:p w14:paraId="63FCDE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74D96B6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7CA0EF4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val="zh-CN" w:bidi="ar"/>
        </w:rPr>
        <w:t>服务期限</w:t>
      </w:r>
    </w:p>
    <w:p w14:paraId="7580118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u w:val="none"/>
          <w:lang w:bidi="ar"/>
        </w:rPr>
      </w:pPr>
      <w:r>
        <w:rPr>
          <w:rFonts w:hint="eastAsia" w:ascii="仿宋" w:hAnsi="仿宋" w:eastAsia="仿宋" w:cs="仿宋"/>
          <w:sz w:val="28"/>
          <w:szCs w:val="28"/>
          <w:highlight w:val="none"/>
          <w:lang w:val="zh-CN"/>
        </w:rPr>
        <w:t>合同签订后至丝博会结束。</w:t>
      </w:r>
    </w:p>
    <w:p w14:paraId="38B93BED">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三</w:t>
      </w:r>
      <w:r>
        <w:rPr>
          <w:rFonts w:hint="eastAsia" w:ascii="仿宋" w:hAnsi="仿宋" w:eastAsia="仿宋" w:cs="仿宋"/>
          <w:b/>
          <w:sz w:val="28"/>
          <w:szCs w:val="28"/>
          <w:highlight w:val="none"/>
          <w:lang w:bidi="ar"/>
        </w:rPr>
        <w:t>条  费用的结算</w:t>
      </w:r>
    </w:p>
    <w:p w14:paraId="4D71F278">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w:t>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销售发票</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、甲方出具的验收报告。</w:t>
      </w:r>
    </w:p>
    <w:p w14:paraId="783FB838">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sz w:val="28"/>
          <w:szCs w:val="28"/>
          <w:highlight w:val="none"/>
          <w:lang w:eastAsia="zh-CN"/>
        </w:rPr>
        <w:t>签订合同出具项目方案，经采购人和执行单位确认</w:t>
      </w:r>
      <w:r>
        <w:rPr>
          <w:rFonts w:hint="eastAsia" w:ascii="仿宋" w:hAnsi="仿宋" w:eastAsia="仿宋" w:cs="仿宋"/>
          <w:sz w:val="28"/>
          <w:szCs w:val="28"/>
          <w:highlight w:val="none"/>
        </w:rPr>
        <w:t>，达到付款条件起</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日内，支付合同总金额的</w:t>
      </w:r>
      <w:r>
        <w:rPr>
          <w:rFonts w:hint="eastAsia" w:ascii="仿宋" w:hAnsi="仿宋" w:eastAsia="仿宋" w:cs="仿宋"/>
          <w:sz w:val="28"/>
          <w:szCs w:val="28"/>
          <w:highlight w:val="none"/>
          <w:lang w:val="en-US" w:eastAsia="zh-CN"/>
        </w:rPr>
        <w:t>70</w:t>
      </w:r>
      <w:r>
        <w:rPr>
          <w:rFonts w:hint="eastAsia" w:ascii="仿宋" w:hAnsi="仿宋" w:eastAsia="仿宋" w:cs="仿宋"/>
          <w:sz w:val="28"/>
          <w:szCs w:val="28"/>
          <w:highlight w:val="none"/>
        </w:rPr>
        <w:t>.00%。</w:t>
      </w:r>
      <w:r>
        <w:rPr>
          <w:rFonts w:hint="eastAsia" w:ascii="仿宋" w:hAnsi="仿宋" w:eastAsia="仿宋" w:cs="仿宋"/>
          <w:b w:val="0"/>
          <w:bCs w:val="0"/>
          <w:color w:val="000000"/>
          <w:sz w:val="28"/>
          <w:szCs w:val="28"/>
          <w:highlight w:val="none"/>
          <w:u w:val="none"/>
          <w:lang w:eastAsia="zh-CN" w:bidi="ar"/>
        </w:rPr>
        <w:t>项目完成并验收合格后</w:t>
      </w:r>
      <w:r>
        <w:rPr>
          <w:rFonts w:hint="eastAsia" w:ascii="仿宋" w:hAnsi="仿宋" w:eastAsia="仿宋" w:cs="仿宋"/>
          <w:sz w:val="28"/>
          <w:szCs w:val="28"/>
          <w:highlight w:val="none"/>
        </w:rPr>
        <w:t>，达到付款条件起</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日内，支付合同总金额的</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.00%。</w:t>
      </w:r>
    </w:p>
    <w:p w14:paraId="56FCF72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eastAsia="zh-CN"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eastAsia="zh-CN"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服务质量</w:t>
      </w:r>
    </w:p>
    <w:p w14:paraId="71F87E20">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val="zh-CN" w:bidi="ar"/>
        </w:rPr>
      </w:pPr>
      <w:r>
        <w:rPr>
          <w:rFonts w:hint="eastAsia" w:ascii="仿宋" w:hAnsi="仿宋" w:eastAsia="仿宋" w:cs="仿宋"/>
          <w:bCs/>
          <w:sz w:val="28"/>
          <w:szCs w:val="28"/>
          <w:highlight w:val="none"/>
          <w:lang w:val="zh-CN" w:bidi="ar"/>
        </w:rPr>
        <w:t>服务质量必须达到甲方竞争性磋商文件和乙方竞争性磋商响应文件的标准。</w:t>
      </w:r>
    </w:p>
    <w:p w14:paraId="681C4D15">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sz w:val="28"/>
          <w:szCs w:val="28"/>
          <w:highlight w:val="none"/>
          <w:lang w:eastAsia="zh-CN" w:bidi="ar"/>
        </w:rPr>
        <w:t>第五条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color w:val="auto"/>
          <w:sz w:val="28"/>
          <w:szCs w:val="28"/>
          <w:highlight w:val="none"/>
        </w:rPr>
        <w:t>安全施工</w:t>
      </w:r>
    </w:p>
    <w:p w14:paraId="41E46AAB">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sz w:val="28"/>
          <w:szCs w:val="28"/>
          <w:highlight w:val="none"/>
          <w:lang w:val="zh-CN" w:bidi="ar"/>
        </w:rPr>
      </w:pPr>
      <w:r>
        <w:rPr>
          <w:rFonts w:hint="eastAsia" w:ascii="仿宋" w:hAnsi="仿宋" w:eastAsia="仿宋" w:cs="仿宋"/>
          <w:bCs/>
          <w:sz w:val="28"/>
          <w:szCs w:val="28"/>
          <w:highlight w:val="none"/>
          <w:lang w:val="zh-CN" w:bidi="ar"/>
        </w:rPr>
        <w:t>乙方应遵守工程建设安全生产有关管理规定，严格按安全标准组织施工，采取必要的安全防护措施，消除事故隐患。由于乙方安全措施不力造成事故的责任和因此发生的费用，由乙方承担。</w:t>
      </w:r>
    </w:p>
    <w:p w14:paraId="7922BA48">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六</w:t>
      </w:r>
      <w:r>
        <w:rPr>
          <w:rFonts w:hint="eastAsia" w:ascii="仿宋" w:hAnsi="仿宋" w:eastAsia="仿宋" w:cs="仿宋"/>
          <w:b/>
          <w:sz w:val="28"/>
          <w:szCs w:val="28"/>
          <w:highlight w:val="none"/>
          <w:lang w:bidi="ar"/>
        </w:rPr>
        <w:t>条  甲方的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7C14EA4C">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kern w:val="0"/>
          <w:sz w:val="28"/>
          <w:szCs w:val="28"/>
          <w:highlight w:val="none"/>
        </w:rPr>
      </w:pPr>
      <w:r>
        <w:rPr>
          <w:rFonts w:hint="eastAsia" w:ascii="仿宋" w:hAnsi="仿宋" w:eastAsia="仿宋" w:cs="仿宋"/>
          <w:bCs/>
          <w:sz w:val="28"/>
          <w:szCs w:val="28"/>
          <w:highlight w:val="none"/>
          <w:lang w:bidi="ar"/>
        </w:rPr>
        <w:t>1、</w:t>
      </w:r>
      <w:r>
        <w:rPr>
          <w:rFonts w:hint="eastAsia" w:ascii="仿宋" w:hAnsi="仿宋" w:eastAsia="仿宋" w:cs="仿宋"/>
          <w:kern w:val="0"/>
          <w:sz w:val="28"/>
          <w:szCs w:val="28"/>
          <w:highlight w:val="none"/>
        </w:rPr>
        <w:t>甲方逾期付款，应就逾期部分向乙方支付按照中国人民银行规定的同期贷款基准利率计算的逾期付款违约金。</w:t>
      </w:r>
    </w:p>
    <w:p w14:paraId="4062702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2、甲方违反合同规定拒绝接收</w:t>
      </w:r>
      <w:r>
        <w:rPr>
          <w:rFonts w:hint="eastAsia" w:ascii="仿宋" w:hAnsi="仿宋" w:eastAsia="仿宋" w:cs="仿宋"/>
          <w:bCs/>
          <w:sz w:val="28"/>
          <w:szCs w:val="28"/>
          <w:highlight w:val="none"/>
          <w:lang w:eastAsia="zh-CN" w:bidi="ar"/>
        </w:rPr>
        <w:t>服务</w:t>
      </w:r>
      <w:r>
        <w:rPr>
          <w:rFonts w:hint="eastAsia" w:ascii="仿宋" w:hAnsi="仿宋" w:eastAsia="仿宋" w:cs="仿宋"/>
          <w:bCs/>
          <w:sz w:val="28"/>
          <w:szCs w:val="28"/>
          <w:highlight w:val="none"/>
          <w:lang w:bidi="ar"/>
        </w:rPr>
        <w:t>的，应当承担由此对乙方造成的损失。</w:t>
      </w:r>
    </w:p>
    <w:p w14:paraId="0565EA6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七</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 xml:space="preserve"> 乙方的</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违约责任</w:t>
      </w:r>
      <w:r>
        <w:rPr>
          <w:rFonts w:hint="eastAsia" w:ascii="仿宋" w:hAnsi="仿宋" w:eastAsia="仿宋" w:cs="仿宋"/>
          <w:b/>
          <w:sz w:val="28"/>
          <w:szCs w:val="28"/>
          <w:highlight w:val="none"/>
          <w:lang w:bidi="ar"/>
        </w:rPr>
        <w:fldChar w:fldCharType="end"/>
      </w:r>
    </w:p>
    <w:p w14:paraId="5801A91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1、乙方不能按期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的，每逾期1日，乙方应向甲方赔付合同总价的0.1%作为违约金。</w:t>
      </w:r>
    </w:p>
    <w:p w14:paraId="56B5271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2、乙方所交</w:t>
      </w:r>
      <w:r>
        <w:rPr>
          <w:rFonts w:hint="eastAsia" w:ascii="仿宋" w:hAnsi="仿宋" w:eastAsia="仿宋" w:cs="仿宋"/>
          <w:bCs/>
          <w:sz w:val="28"/>
          <w:szCs w:val="28"/>
          <w:highlight w:val="none"/>
          <w:lang w:val="en-US" w:eastAsia="zh-CN" w:bidi="ar"/>
        </w:rPr>
        <w:t>成果</w:t>
      </w:r>
      <w:r>
        <w:rPr>
          <w:rFonts w:hint="eastAsia" w:ascii="仿宋" w:hAnsi="仿宋" w:eastAsia="仿宋" w:cs="仿宋"/>
          <w:bCs/>
          <w:sz w:val="28"/>
          <w:szCs w:val="28"/>
          <w:highlight w:val="none"/>
          <w:lang w:bidi="ar"/>
        </w:rPr>
        <w:t>不符合国家法律法规和合同规定的，甲方有权拒收，并由乙方承担一切费用。</w:t>
      </w:r>
    </w:p>
    <w:p w14:paraId="005CDEF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八</w:t>
      </w:r>
      <w:r>
        <w:rPr>
          <w:rFonts w:hint="eastAsia" w:ascii="仿宋" w:hAnsi="仿宋" w:eastAsia="仿宋" w:cs="仿宋"/>
          <w:b/>
          <w:sz w:val="28"/>
          <w:szCs w:val="28"/>
          <w:highlight w:val="none"/>
          <w:lang w:bidi="ar"/>
        </w:rPr>
        <w:t xml:space="preserve">条  </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不可抗力</w:t>
      </w:r>
      <w:r>
        <w:rPr>
          <w:rFonts w:hint="eastAsia" w:ascii="仿宋" w:hAnsi="仿宋" w:eastAsia="仿宋" w:cs="仿宋"/>
          <w:b/>
          <w:sz w:val="28"/>
          <w:szCs w:val="28"/>
          <w:highlight w:val="none"/>
          <w:lang w:bidi="ar"/>
        </w:rPr>
        <w:fldChar w:fldCharType="end"/>
      </w:r>
    </w:p>
    <w:p w14:paraId="443C36E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甲乙双方任何一方由于</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不可抗力</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原因不能履行合同时，应及时向对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方通</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违约责任</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505BC2C">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争议解决</w:t>
      </w:r>
    </w:p>
    <w:p w14:paraId="677992A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7E9F6EDF">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  监督和管理</w:t>
      </w:r>
    </w:p>
    <w:p w14:paraId="6E14829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7645ECAF">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2AD9C4F0">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17A7F60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highlight w:val="none"/>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40FA212C">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十二</w:t>
      </w:r>
      <w:r>
        <w:rPr>
          <w:rFonts w:hint="eastAsia" w:ascii="仿宋" w:hAnsi="仿宋" w:eastAsia="仿宋" w:cs="仿宋"/>
          <w:b/>
          <w:sz w:val="28"/>
          <w:szCs w:val="28"/>
          <w:highlight w:val="none"/>
          <w:lang w:bidi="ar"/>
        </w:rPr>
        <w:t>条附则</w:t>
      </w:r>
    </w:p>
    <w:p w14:paraId="49F7467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eastAsia="zh-CN" w:bidi="ar"/>
        </w:rPr>
        <w:t>竞争性磋商</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eastAsia="zh-CN" w:bidi="ar"/>
        </w:rPr>
        <w:t>成交</w:t>
      </w:r>
      <w:r>
        <w:rPr>
          <w:rFonts w:hint="eastAsia" w:ascii="仿宋" w:hAnsi="仿宋" w:eastAsia="仿宋" w:cs="仿宋"/>
          <w:bCs/>
          <w:sz w:val="28"/>
          <w:szCs w:val="28"/>
          <w:highlight w:val="none"/>
          <w:lang w:bidi="ar"/>
        </w:rPr>
        <w:t>通知书、乙方</w:t>
      </w:r>
      <w:r>
        <w:rPr>
          <w:rFonts w:hint="eastAsia" w:ascii="仿宋" w:hAnsi="仿宋" w:eastAsia="仿宋" w:cs="仿宋"/>
          <w:bCs/>
          <w:sz w:val="28"/>
          <w:szCs w:val="28"/>
          <w:highlight w:val="none"/>
          <w:lang w:eastAsia="zh-CN" w:bidi="ar"/>
        </w:rPr>
        <w:t>竞争性磋商响应</w:t>
      </w:r>
      <w:r>
        <w:rPr>
          <w:rFonts w:hint="eastAsia" w:ascii="仿宋" w:hAnsi="仿宋" w:eastAsia="仿宋" w:cs="仿宋"/>
          <w:bCs/>
          <w:sz w:val="28"/>
          <w:szCs w:val="28"/>
          <w:highlight w:val="none"/>
          <w:lang w:bidi="ar"/>
        </w:rPr>
        <w:t>文件及澄清说明文件都是本合同的组成部分，甲、乙双方必须全面遵守，如有违反，应承担违约责任。</w:t>
      </w:r>
    </w:p>
    <w:p w14:paraId="355931A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w:t>
      </w:r>
      <w:r>
        <w:rPr>
          <w:rFonts w:hint="eastAsia" w:ascii="仿宋" w:hAnsi="仿宋" w:eastAsia="仿宋" w:cs="仿宋"/>
          <w:bCs/>
          <w:sz w:val="28"/>
          <w:szCs w:val="28"/>
          <w:highlight w:val="none"/>
          <w:lang w:val="en-US" w:eastAsia="zh-CN" w:bidi="ar"/>
        </w:rPr>
        <w:t>六</w:t>
      </w:r>
      <w:r>
        <w:rPr>
          <w:rFonts w:hint="eastAsia" w:ascii="仿宋" w:hAnsi="仿宋" w:eastAsia="仿宋" w:cs="仿宋"/>
          <w:bCs/>
          <w:sz w:val="28"/>
          <w:szCs w:val="28"/>
          <w:highlight w:val="none"/>
          <w:lang w:bidi="ar"/>
        </w:rPr>
        <w:t>份,甲乙双方各执</w:t>
      </w:r>
      <w:r>
        <w:rPr>
          <w:rFonts w:hint="eastAsia" w:ascii="仿宋" w:hAnsi="仿宋" w:eastAsia="仿宋" w:cs="仿宋"/>
          <w:bCs/>
          <w:sz w:val="28"/>
          <w:szCs w:val="28"/>
          <w:highlight w:val="none"/>
          <w:lang w:val="en-US" w:eastAsia="zh-CN" w:bidi="ar"/>
        </w:rPr>
        <w:t>两</w:t>
      </w:r>
      <w:r>
        <w:rPr>
          <w:rFonts w:hint="eastAsia" w:ascii="仿宋" w:hAnsi="仿宋" w:eastAsia="仿宋" w:cs="仿宋"/>
          <w:bCs/>
          <w:sz w:val="28"/>
          <w:szCs w:val="28"/>
          <w:highlight w:val="none"/>
          <w:lang w:bidi="ar"/>
        </w:rPr>
        <w:t>份,政府采购代理机构两份。</w:t>
      </w:r>
    </w:p>
    <w:p w14:paraId="4471FDC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4B80467">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sz w:val="28"/>
          <w:szCs w:val="28"/>
          <w:highlight w:val="none"/>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eastAsia="zh-CN"/>
        </w:rPr>
        <w:t>实施</w:t>
      </w:r>
      <w:r>
        <w:rPr>
          <w:rFonts w:hint="eastAsia" w:ascii="仿宋" w:hAnsi="仿宋" w:eastAsia="仿宋" w:cs="仿宋"/>
          <w:sz w:val="28"/>
          <w:szCs w:val="28"/>
          <w:highlight w:val="none"/>
        </w:rPr>
        <w:t>方案）</w:t>
      </w:r>
    </w:p>
    <w:p w14:paraId="6A4AE97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1C057FC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sz w:val="28"/>
          <w:szCs w:val="28"/>
          <w:highlight w:val="none"/>
          <w:lang w:bidi="ar"/>
        </w:rPr>
        <w:t>：</w:t>
      </w:r>
    </w:p>
    <w:p w14:paraId="537B2D0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0C0187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2A396FE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r>
        <w:rPr>
          <w:rFonts w:hint="eastAsia" w:ascii="仿宋" w:hAnsi="仿宋" w:eastAsia="仿宋" w:cs="仿宋"/>
          <w:bCs/>
          <w:sz w:val="28"/>
          <w:szCs w:val="28"/>
          <w:highlight w:val="none"/>
          <w:lang w:eastAsia="zh-CN" w:bidi="ar"/>
        </w:rPr>
        <w:t>账</w:t>
      </w:r>
      <w:r>
        <w:rPr>
          <w:rFonts w:hint="eastAsia" w:ascii="仿宋" w:hAnsi="仿宋" w:eastAsia="仿宋" w:cs="仿宋"/>
          <w:bCs/>
          <w:sz w:val="28"/>
          <w:szCs w:val="28"/>
          <w:highlight w:val="none"/>
          <w:lang w:bidi="ar"/>
        </w:rPr>
        <w:t xml:space="preserve">    号</w:t>
      </w:r>
    </w:p>
    <w:p w14:paraId="6D69E8B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470D0FD4">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7C4EEF8">
      <w:pPr>
        <w:jc w:val="both"/>
        <w:rPr>
          <w:rFonts w:hint="eastAsia" w:ascii="宋体" w:hAnsi="宋体" w:eastAsia="宋体" w:cs="宋体"/>
          <w:b w:val="0"/>
          <w:bCs w:val="0"/>
          <w:sz w:val="28"/>
          <w:szCs w:val="36"/>
          <w:u w:val="none"/>
          <w:lang w:val="en-US" w:eastAsia="zh-CN"/>
        </w:rPr>
      </w:pPr>
      <w:r>
        <w:rPr>
          <w:rFonts w:hint="eastAsia" w:ascii="仿宋" w:hAnsi="仿宋" w:eastAsia="仿宋" w:cs="仿宋"/>
          <w:bCs/>
          <w:sz w:val="28"/>
          <w:szCs w:val="28"/>
          <w:highlight w:val="none"/>
          <w:lang w:bidi="ar"/>
        </w:rPr>
        <w:t>时    间：  年月日    时    间： 年月日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C753A"/>
    <w:rsid w:val="02B22689"/>
    <w:rsid w:val="08384460"/>
    <w:rsid w:val="353A7134"/>
    <w:rsid w:val="4BBE1AE8"/>
    <w:rsid w:val="61CC24D2"/>
    <w:rsid w:val="697C2004"/>
    <w:rsid w:val="71FF5781"/>
    <w:rsid w:val="72713C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toc 9"/>
    <w:basedOn w:val="1"/>
    <w:next w:val="1"/>
    <w:unhideWhenUsed/>
    <w:qFormat/>
    <w:uiPriority w:val="39"/>
    <w:pPr>
      <w:ind w:left="3360" w:leftChars="1600"/>
    </w:pPr>
  </w:style>
  <w:style w:type="paragraph" w:styleId="4">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5">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6">
    <w:name w:val="Body Text First Indent 2"/>
    <w:basedOn w:val="4"/>
    <w:qFormat/>
    <w:uiPriority w:val="0"/>
    <w:pPr>
      <w:ind w:leftChars="0" w:firstLine="420"/>
    </w:pPr>
    <w:rPr>
      <w:szCs w:val="24"/>
    </w:rPr>
  </w:style>
  <w:style w:type="character" w:styleId="9">
    <w:name w:val="Hyperlink"/>
    <w:unhideWhenUsed/>
    <w:qFormat/>
    <w:uiPriority w:val="99"/>
    <w:rPr>
      <w:rFonts w:hint="eastAsia" w:ascii="宋体" w:hAnsi="宋体" w:eastAsia="宋体" w:cs="宋体"/>
      <w:color w:val="000000"/>
      <w:sz w:val="14"/>
      <w:szCs w:val="14"/>
      <w:u w:val="none"/>
    </w:rPr>
  </w:style>
  <w:style w:type="paragraph" w:customStyle="1" w:styleId="10">
    <w:name w:val="null3"/>
    <w:hidden/>
    <w:uiPriority w:val="0"/>
    <w:rPr>
      <w:rFonts w:hint="eastAsia" w:asciiTheme="minorHAnsi" w:hAnsiTheme="minorHAnsi" w:eastAsiaTheme="minorEastAsia" w:cstheme="minorBidi"/>
      <w:lang w:val="en-US" w:eastAsia="zh-Hans"/>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3566</Words>
  <Characters>3627</Characters>
  <Lines>0</Lines>
  <Paragraphs>0</Paragraphs>
  <TotalTime>0</TotalTime>
  <ScaleCrop>false</ScaleCrop>
  <LinksUpToDate>false</LinksUpToDate>
  <CharactersWithSpaces>3844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2025-09-18T07:51:00Z</dcterms:created>
  <dc:creator>Adminstrator</dc:creator>
  <cp:lastModifiedBy>Ailsa</cp:lastModifiedBy>
  <dcterms:modified xsi:type="dcterms:W3CDTF">2026-04-29T09:36:58Z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eyJoZGlkIjoiZGU5M2ZiYjc0ZTNhYThhYzdkZjg2MGQzOGFkYzNjODciLCJ1c2VySWQiOiIzMTgwNzY3NzEifQ==</vt:lpwstr>
  </property>
  <property fmtid="{D5CDD505-2E9C-101B-9397-08002B2CF9AE}" pid="4" name="ICV">
    <vt:lpwstr>5712E6E9E3CC42B78482756F920A26F0_12</vt:lpwstr>
  </property>
</Properties>
</file>