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111B" w14:textId="77777777" w:rsidR="006765DC" w:rsidRPr="006765DC" w:rsidRDefault="006765DC" w:rsidP="006765DC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仿宋_GB2312" w:hint="eastAsia"/>
          <w:b/>
          <w:sz w:val="24"/>
        </w:rPr>
      </w:pPr>
      <w:r w:rsidRPr="006765DC">
        <w:rPr>
          <w:rFonts w:ascii="仿宋" w:eastAsia="仿宋" w:hAnsi="仿宋" w:cs="仿宋_GB2312" w:hint="eastAsia"/>
          <w:b/>
          <w:sz w:val="24"/>
        </w:rPr>
        <w:t xml:space="preserve">甲方：（前款所称采购人）         </w:t>
      </w:r>
    </w:p>
    <w:p w14:paraId="48042B86" w14:textId="77777777" w:rsidR="006765DC" w:rsidRPr="006765DC" w:rsidRDefault="006765DC" w:rsidP="006765DC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仿宋_GB2312" w:hint="eastAsia"/>
          <w:b/>
          <w:sz w:val="24"/>
        </w:rPr>
      </w:pPr>
      <w:r w:rsidRPr="006765DC">
        <w:rPr>
          <w:rFonts w:ascii="仿宋" w:eastAsia="仿宋" w:hAnsi="仿宋" w:cs="仿宋_GB2312" w:hint="eastAsia"/>
          <w:b/>
          <w:sz w:val="24"/>
        </w:rPr>
        <w:t xml:space="preserve">乙方：（前款所称成交供应商）     </w:t>
      </w:r>
    </w:p>
    <w:p w14:paraId="6306911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  <w:u w:val="single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 xml:space="preserve">一、合同内容: </w:t>
      </w:r>
      <w:r w:rsidRPr="006765DC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             </w:t>
      </w:r>
    </w:p>
    <w:p w14:paraId="0DF9F2C9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二、合同价款：</w:t>
      </w:r>
    </w:p>
    <w:p w14:paraId="48E3B60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1、合同总价：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                    </w:t>
      </w:r>
      <w:r w:rsidRPr="006765DC">
        <w:rPr>
          <w:rFonts w:ascii="仿宋" w:eastAsia="仿宋" w:hAnsi="仿宋" w:cs="仿宋_GB2312" w:hint="eastAsia"/>
          <w:sz w:val="24"/>
        </w:rPr>
        <w:t xml:space="preserve">                          </w:t>
      </w:r>
    </w:p>
    <w:p w14:paraId="62CBF0E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2、合同总价包括：包括以下全部费用：</w:t>
      </w:r>
    </w:p>
    <w:p w14:paraId="44E6BCF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（1）软件平台开发与部署费用。</w:t>
      </w:r>
    </w:p>
    <w:p w14:paraId="62ED30A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（2）高空视频设备采购、安装与调试费用（含立杆、供电、网络等配套）。</w:t>
      </w:r>
    </w:p>
    <w:p w14:paraId="406FF1A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（3）数据采集、处理与集成服务费。</w:t>
      </w:r>
    </w:p>
    <w:p w14:paraId="219640A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（4）系统运维与技术支持服务费（5年期）。</w:t>
      </w:r>
    </w:p>
    <w:p w14:paraId="1C3A135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（5）人员培训、项目管理、差旅及协调费用。</w:t>
      </w:r>
    </w:p>
    <w:p w14:paraId="7B05BD6F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（6）各类税费、保险及其他不可预见费用。</w:t>
      </w:r>
    </w:p>
    <w:p w14:paraId="264145AF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（7）合同总价为含税价一次包死，不受市场价变化的影响。</w:t>
      </w:r>
    </w:p>
    <w:p w14:paraId="311B15E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三、合同结算：</w:t>
      </w:r>
    </w:p>
    <w:p w14:paraId="77232144" w14:textId="171CFB09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1、付款进度安排：</w:t>
      </w:r>
      <w:r w:rsidR="005F0284" w:rsidRPr="005F0284">
        <w:rPr>
          <w:rFonts w:ascii="仿宋" w:eastAsia="仿宋" w:hAnsi="仿宋" w:cs="仿宋_GB2312" w:hint="eastAsia"/>
          <w:sz w:val="24"/>
        </w:rPr>
        <w:t>合同签订且收到发票后10个工作日内</w:t>
      </w:r>
      <w:r w:rsidRPr="006765DC">
        <w:rPr>
          <w:rFonts w:ascii="仿宋" w:eastAsia="仿宋" w:hAnsi="仿宋" w:cs="仿宋_GB2312" w:hint="eastAsia"/>
          <w:sz w:val="24"/>
        </w:rPr>
        <w:t>，支付合同总额的20%；系统建设完成并通过验收后，支付合同总额的70%；服务期满且无任何质量问题，支付合同总额的10%。</w:t>
      </w:r>
    </w:p>
    <w:p w14:paraId="19C0275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2、结算方式：按照支付程序进行银行转账。</w:t>
      </w:r>
    </w:p>
    <w:p w14:paraId="7BB0FA68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3、结算单位：由甲方负责结算，乙方根据合同条款按甲方要求开具正式发票交采购人。</w:t>
      </w:r>
    </w:p>
    <w:p w14:paraId="4F83598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四、服务期限、服务地点及履行方式</w:t>
      </w:r>
    </w:p>
    <w:p w14:paraId="7D0E3953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1、服务期限：5年（自合同签订之日起计算）</w:t>
      </w:r>
    </w:p>
    <w:p w14:paraId="25BA289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2、服务地点：陕西省渭南市主城区。</w:t>
      </w:r>
    </w:p>
    <w:p w14:paraId="71B3805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3、履行方式：乙方负责系统设计、设备供应、安装调试、平台部署、人员培训、系统运维及技术支持。</w:t>
      </w:r>
    </w:p>
    <w:p w14:paraId="0E4E995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五、质量要求</w:t>
      </w:r>
    </w:p>
    <w:p w14:paraId="785E5B0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</w:t>
      </w:r>
      <w:r w:rsidRPr="006765DC">
        <w:rPr>
          <w:rFonts w:ascii="仿宋" w:eastAsia="仿宋" w:hAnsi="仿宋" w:cs="Helvetica" w:hint="eastAsia"/>
          <w:kern w:val="0"/>
          <w:sz w:val="24"/>
        </w:rPr>
        <w:t>系统可用率≥99.5%，平均故障修复时间≤4小时。</w:t>
      </w:r>
    </w:p>
    <w:p w14:paraId="56D6F80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</w:t>
      </w:r>
      <w:r w:rsidRPr="006765DC">
        <w:rPr>
          <w:rFonts w:ascii="仿宋" w:eastAsia="仿宋" w:hAnsi="仿宋" w:cs="Helvetica" w:hint="eastAsia"/>
          <w:kern w:val="0"/>
          <w:sz w:val="24"/>
        </w:rPr>
        <w:t>视频清晰可辨，支持夜间红外成像。</w:t>
      </w:r>
    </w:p>
    <w:p w14:paraId="0FF51DE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lastRenderedPageBreak/>
        <w:t>3、</w:t>
      </w:r>
      <w:r w:rsidRPr="006765DC">
        <w:rPr>
          <w:rFonts w:ascii="仿宋" w:eastAsia="仿宋" w:hAnsi="仿宋" w:cs="Helvetica" w:hint="eastAsia"/>
          <w:kern w:val="0"/>
          <w:sz w:val="24"/>
        </w:rPr>
        <w:t>平台响应时间≤2秒，支持并发用户≥100个。</w:t>
      </w:r>
    </w:p>
    <w:p w14:paraId="4988CAB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</w:t>
      </w:r>
      <w:r w:rsidRPr="006765DC">
        <w:rPr>
          <w:rFonts w:ascii="仿宋" w:eastAsia="仿宋" w:hAnsi="仿宋" w:cs="Helvetica" w:hint="eastAsia"/>
          <w:kern w:val="0"/>
          <w:sz w:val="24"/>
        </w:rPr>
        <w:t>符合《信息安全技术网络安全等级保护基本要求》二级标准</w:t>
      </w:r>
      <w:r w:rsidRPr="006765DC">
        <w:rPr>
          <w:rFonts w:ascii="仿宋" w:eastAsia="仿宋" w:hAnsi="仿宋" w:cs="仿宋_GB2312" w:hint="eastAsia"/>
          <w:sz w:val="24"/>
        </w:rPr>
        <w:t>。</w:t>
      </w:r>
    </w:p>
    <w:p w14:paraId="1FD66165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六、技术依据</w:t>
      </w:r>
    </w:p>
    <w:p w14:paraId="7E63240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乙方提供的产品和服务须符合</w:t>
      </w:r>
      <w:proofErr w:type="gramStart"/>
      <w:r w:rsidRPr="006765DC">
        <w:rPr>
          <w:rFonts w:ascii="仿宋" w:eastAsia="仿宋" w:hAnsi="仿宋" w:cs="仿宋_GB2312" w:hint="eastAsia"/>
          <w:sz w:val="24"/>
        </w:rPr>
        <w:t>以下但</w:t>
      </w:r>
      <w:proofErr w:type="gramEnd"/>
      <w:r w:rsidRPr="006765DC">
        <w:rPr>
          <w:rFonts w:ascii="仿宋" w:eastAsia="仿宋" w:hAnsi="仿宋" w:cs="仿宋_GB2312" w:hint="eastAsia"/>
          <w:sz w:val="24"/>
        </w:rPr>
        <w:t>不限于以下标准和规范：</w:t>
      </w:r>
    </w:p>
    <w:p w14:paraId="3C69ED3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1、《地理信息系统技术基本要求》（GB/T 17798）</w:t>
      </w:r>
    </w:p>
    <w:p w14:paraId="46BD6A1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2、《遥感影像地图制作规范》（GB/T 15968）</w:t>
      </w:r>
    </w:p>
    <w:p w14:paraId="6B9C90E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3、《信息安全技术网络安全等级保护基本要求》（GB/T 22239）</w:t>
      </w:r>
    </w:p>
    <w:p w14:paraId="7070F5B7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4、《智慧城市顶层设计指南》（GB/T 36333）</w:t>
      </w:r>
    </w:p>
    <w:p w14:paraId="388F660A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5、《自然资源调查监测体系构建指南》（自然资源部发布）</w:t>
      </w:r>
    </w:p>
    <w:p w14:paraId="704A718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6、《视频安防监控系统技术要求》（GA/T 367）</w:t>
      </w:r>
    </w:p>
    <w:p w14:paraId="72F18D4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7、《信息技术软件开发项目管理规范》（GB/T 8566）</w:t>
      </w:r>
    </w:p>
    <w:p w14:paraId="37C68D3A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8、陕西省及渭南市关于智慧自然资源、数字乡村、耕地保护等相关地方性技术导则与管理规定。</w:t>
      </w:r>
    </w:p>
    <w:p w14:paraId="5724C435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9、所有软硬件系统须通过国家相关检测认证，平台系统应</w:t>
      </w:r>
      <w:proofErr w:type="gramStart"/>
      <w:r w:rsidRPr="006765DC">
        <w:rPr>
          <w:rFonts w:ascii="仿宋" w:eastAsia="仿宋" w:hAnsi="仿宋" w:cs="仿宋_GB2312" w:hint="eastAsia"/>
          <w:sz w:val="24"/>
        </w:rPr>
        <w:t>满足等保二级</w:t>
      </w:r>
      <w:proofErr w:type="gramEnd"/>
      <w:r w:rsidRPr="006765DC">
        <w:rPr>
          <w:rFonts w:ascii="仿宋" w:eastAsia="仿宋" w:hAnsi="仿宋" w:cs="仿宋_GB2312" w:hint="eastAsia"/>
          <w:sz w:val="24"/>
        </w:rPr>
        <w:t>及以上要求。</w:t>
      </w:r>
    </w:p>
    <w:p w14:paraId="388812C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七、交付标准</w:t>
      </w:r>
    </w:p>
    <w:p w14:paraId="57460B6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1、提供完整的技术文档、操作手册、培训资料。</w:t>
      </w:r>
    </w:p>
    <w:p w14:paraId="352F57F7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2、完成对采购方不少于2轮的系统使用培训。</w:t>
      </w:r>
    </w:p>
    <w:p w14:paraId="744E5C65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3、系统正式上线运行并通过测试。</w:t>
      </w:r>
    </w:p>
    <w:p w14:paraId="7D3B7B5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八、质量保修范围和保修期</w:t>
      </w:r>
    </w:p>
    <w:p w14:paraId="6DF77AC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1、所有硬件设备质保期不少于5年。</w:t>
      </w:r>
    </w:p>
    <w:p w14:paraId="4A2D9A07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2、软件系统终身免费升级维护。</w:t>
      </w:r>
    </w:p>
    <w:p w14:paraId="527ADCE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3、整体项目提供5年全周期运维服务，包含故障处理、定期巡检、系统优化。</w:t>
      </w:r>
    </w:p>
    <w:p w14:paraId="4E787183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九、验收标准和方法</w:t>
      </w:r>
    </w:p>
    <w:p w14:paraId="7DA79D4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1、完成软硬件部署并连续稳定运行3个月以上，经专家组验收，系统可用率≥99.5%达标。</w:t>
      </w:r>
    </w:p>
    <w:p w14:paraId="2248D1AF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lastRenderedPageBreak/>
        <w:t>2、所有监控点位数据接入平台，AI识别功能上线。</w:t>
      </w:r>
    </w:p>
    <w:p w14:paraId="5EA0DED8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3、可视化平台功能模块全部可用，田长端APP可正常使用。</w:t>
      </w:r>
    </w:p>
    <w:p w14:paraId="5C91EE1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4、通过采购人组织的功能测试和压力测试。</w:t>
      </w:r>
    </w:p>
    <w:p w14:paraId="6568D315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5、违法事件识别与处置闭环率达到95%指标要求。</w:t>
      </w:r>
    </w:p>
    <w:p w14:paraId="0176B2D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6、用户满意度调查结果优良率≥90%。</w:t>
      </w:r>
    </w:p>
    <w:p w14:paraId="41B765E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7、无数据泄露、系统瘫痪等安全责任事故。</w:t>
      </w:r>
    </w:p>
    <w:p w14:paraId="33CE190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8、提交完整的技术文档、运维日志、测试报告、培训记录等资料。</w:t>
      </w:r>
    </w:p>
    <w:p w14:paraId="04A3F8D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9、由采购人牵头成立验收专家组，组织现场查验、系统测试和资料审核。</w:t>
      </w:r>
    </w:p>
    <w:p w14:paraId="218F1AC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10、验收不合格的，限期整改，整改后仍不达标的，按合同约定处理。</w:t>
      </w:r>
    </w:p>
    <w:p w14:paraId="0A029AF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十、甲方的权利与义务</w:t>
      </w:r>
    </w:p>
    <w:p w14:paraId="20FE927A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1、甲方有权对合同规定范围内乙方的服务行为进行监督和检查，拥有监管权。有权核对乙方提供服务所配备的人员数量。对甲方认为不合理的部分有权下达整改通知书，并要求乙方限期整改。</w:t>
      </w:r>
    </w:p>
    <w:p w14:paraId="6146090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2、甲方有权负责检查监督乙方管理工作的实施及制度的执行情况。</w:t>
      </w:r>
    </w:p>
    <w:p w14:paraId="56D4CF38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3、甲方应根据本合同规定，按时向乙方支付应付服务费用。</w:t>
      </w:r>
    </w:p>
    <w:p w14:paraId="3D1E7F58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4、国家法律、法规所规定由甲方承担的其它责任。</w:t>
      </w:r>
    </w:p>
    <w:p w14:paraId="5608314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十一、乙方的权利与义务</w:t>
      </w:r>
    </w:p>
    <w:p w14:paraId="13584B1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1、认真完成甲方规定的服务内容要求。</w:t>
      </w:r>
    </w:p>
    <w:p w14:paraId="3D465FD7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2、乙方委派项目负责人，负责项目期间的全面管理及项目成果资料交接。</w:t>
      </w:r>
    </w:p>
    <w:p w14:paraId="4FD79FCF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</w:t>
      </w:r>
      <w:proofErr w:type="gramStart"/>
      <w:r w:rsidRPr="006765DC">
        <w:rPr>
          <w:rFonts w:ascii="仿宋" w:eastAsia="仿宋" w:hAnsi="仿宋" w:cs="仿宋_GB2312" w:hint="eastAsia"/>
          <w:sz w:val="24"/>
        </w:rPr>
        <w:t>乙方员工</w:t>
      </w:r>
      <w:proofErr w:type="gramEnd"/>
      <w:r w:rsidRPr="006765DC">
        <w:rPr>
          <w:rFonts w:ascii="仿宋" w:eastAsia="仿宋" w:hAnsi="仿宋" w:cs="仿宋_GB2312" w:hint="eastAsia"/>
          <w:sz w:val="24"/>
        </w:rPr>
        <w:t>在工作期间发生一切事故、伤亡以及其他损失由乙方自行承担。因乙方自身原因实施服务过程中造成的甲方损失，乙方应承担赔偿责任。</w:t>
      </w:r>
    </w:p>
    <w:p w14:paraId="1E1AA6D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4、本项目知识产权归甲方所有，乙方应保证甲方不承担任何涉及知识产权引发的法律责任。</w:t>
      </w:r>
    </w:p>
    <w:p w14:paraId="7F7F230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5、乙方应及时向甲方通告本项目服务范围内有关服务的重大事项，及时配合处理各种突发事件。</w:t>
      </w:r>
    </w:p>
    <w:p w14:paraId="4B6FA1BA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6、乙方接受项目行业管理部门及政府有关部门的指导，接受甲方的监督。</w:t>
      </w:r>
    </w:p>
    <w:p w14:paraId="149C42DA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7、乙方应采取必要措施，按照部、省有关保密规定和甲方协议要求，对有</w:t>
      </w:r>
      <w:r w:rsidRPr="006765DC">
        <w:rPr>
          <w:rFonts w:ascii="仿宋" w:eastAsia="仿宋" w:hAnsi="仿宋" w:cs="仿宋_GB2312" w:hint="eastAsia"/>
          <w:sz w:val="24"/>
        </w:rPr>
        <w:lastRenderedPageBreak/>
        <w:t>关数据成果或过程数据成果等内容进行严格保密。项目完成后，乙方应将项目开展过程中从甲方领取的有关资料和数据，工作过程中形成的有关资料数据，以及最终成果资料数据全部交回甲方，不得私自留存，不得外传、拷贝或用于其他与本项目无关的活动。乙方未严格遵守上述条款造成泄密失密等问题的，乙方应承担相应责任。</w:t>
      </w:r>
    </w:p>
    <w:p w14:paraId="49BD5659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8、国家法律、法规所规定由乙方承担的其它责任。</w:t>
      </w:r>
    </w:p>
    <w:p w14:paraId="7FA67429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十二、违约责任及协议的解除</w:t>
      </w:r>
    </w:p>
    <w:p w14:paraId="2FC3555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1、甲乙双方必须遵守本合同并执行合同中的各项规定，保证本合同的正常履行。</w:t>
      </w:r>
    </w:p>
    <w:p w14:paraId="73ACA0D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0A2926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3、乙方所交成果不符合国家法律法规和合同约定的，甲方有权拒收，并由乙方承担一切费用，甲方不予支付服务费用。</w:t>
      </w:r>
    </w:p>
    <w:p w14:paraId="37D8161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4、因乙方原因导致不能按期完成服务的，每逾期一日，按合同总额0.01%支付违约金。</w:t>
      </w:r>
    </w:p>
    <w:p w14:paraId="77D38C66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5、双方本着友好合作的态度,对合同履行过程中发生的纠纷应及时协商解决，协商不成的，向采购人所在地有管辖权的人民法院诉讼解决。</w:t>
      </w:r>
    </w:p>
    <w:p w14:paraId="09BE196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十三、其他</w:t>
      </w:r>
    </w:p>
    <w:p w14:paraId="5CE1FB28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1、在合同有效期内，任何一方因不可抗力事件导致不能履行合同，则合同履行期延长，其延长期与不可抗力影响期相同。</w:t>
      </w:r>
    </w:p>
    <w:p w14:paraId="646D0CD7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2、合同一经签订，不得擅自变更、中止或者终止合同。对确需变更、调整或者中止、终止合同的，应按规定履行相应的手续</w:t>
      </w:r>
    </w:p>
    <w:p w14:paraId="46926FBE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3、甲方提供给乙方的相关基础资料只限于本项目，乙方需对资料保密，不得外传或用于本项目以外的其他事项。</w:t>
      </w:r>
    </w:p>
    <w:p w14:paraId="7AD5AB7B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4、本项目工作成果只能提交给甲方，不得提供给其他任何单位或用于其他事项。</w:t>
      </w:r>
    </w:p>
    <w:p w14:paraId="7220774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lastRenderedPageBreak/>
        <w:t>5、如乙方擅自提供资料，导致资料泄密，乙方需承担一切法律责任。</w:t>
      </w:r>
    </w:p>
    <w:p w14:paraId="628BF644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十四、合同组成</w:t>
      </w:r>
    </w:p>
    <w:p w14:paraId="2E73801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1、成交通知书</w:t>
      </w:r>
    </w:p>
    <w:p w14:paraId="2005059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2、合同文件</w:t>
      </w:r>
    </w:p>
    <w:p w14:paraId="7BB322A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3、国家相关规范及标准</w:t>
      </w:r>
    </w:p>
    <w:p w14:paraId="22463DFC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4、技术规格及参数表</w:t>
      </w:r>
    </w:p>
    <w:p w14:paraId="7BC4BF31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5、竞争性磋商文件</w:t>
      </w:r>
    </w:p>
    <w:p w14:paraId="45E7A20D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6、竞争性磋商响应文件</w:t>
      </w:r>
    </w:p>
    <w:p w14:paraId="6240B24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 w:rsidRPr="006765DC">
        <w:rPr>
          <w:rFonts w:ascii="仿宋" w:eastAsia="仿宋" w:hAnsi="仿宋" w:cs="仿宋_GB2312" w:hint="eastAsia"/>
          <w:b/>
          <w:bCs/>
          <w:sz w:val="24"/>
        </w:rPr>
        <w:t>十五、合同生效及其它</w:t>
      </w:r>
    </w:p>
    <w:p w14:paraId="67031FCF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1、合同未尽事宜、由甲、乙双方协商，作为合同补充，与原合同具有同等法律效力。</w:t>
      </w:r>
    </w:p>
    <w:p w14:paraId="7DE82AE0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2、本合同正本一式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 </w:t>
      </w:r>
      <w:r w:rsidRPr="006765DC">
        <w:rPr>
          <w:rFonts w:ascii="仿宋" w:eastAsia="仿宋" w:hAnsi="仿宋" w:cs="仿宋_GB2312" w:hint="eastAsia"/>
          <w:sz w:val="24"/>
        </w:rPr>
        <w:t>份，甲方、乙方双方分别执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 </w:t>
      </w:r>
      <w:r w:rsidRPr="006765DC">
        <w:rPr>
          <w:rFonts w:ascii="仿宋" w:eastAsia="仿宋" w:hAnsi="仿宋" w:cs="仿宋_GB2312" w:hint="eastAsia"/>
          <w:sz w:val="24"/>
        </w:rPr>
        <w:t>份，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</w:t>
      </w:r>
      <w:r w:rsidRPr="006765DC">
        <w:rPr>
          <w:rFonts w:ascii="仿宋" w:eastAsia="仿宋" w:hAnsi="仿宋" w:cs="仿宋_GB2312" w:hint="eastAsia"/>
          <w:sz w:val="24"/>
        </w:rPr>
        <w:t>备案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</w:t>
      </w:r>
      <w:r w:rsidRPr="006765DC">
        <w:rPr>
          <w:rFonts w:ascii="仿宋" w:eastAsia="仿宋" w:hAnsi="仿宋" w:cs="仿宋_GB2312" w:hint="eastAsia"/>
          <w:sz w:val="24"/>
        </w:rPr>
        <w:t>份。</w:t>
      </w:r>
    </w:p>
    <w:p w14:paraId="4EC1DC0B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3、合同经甲乙双方盖章、签字后生效，合同签订地点为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</w:t>
      </w:r>
      <w:r w:rsidRPr="006765DC">
        <w:rPr>
          <w:rFonts w:ascii="仿宋" w:eastAsia="仿宋" w:hAnsi="仿宋" w:cs="仿宋_GB2312" w:hint="eastAsia"/>
          <w:sz w:val="24"/>
        </w:rPr>
        <w:t>。</w:t>
      </w:r>
    </w:p>
    <w:p w14:paraId="7E2377D2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6765DC">
        <w:rPr>
          <w:rFonts w:ascii="仿宋" w:eastAsia="仿宋" w:hAnsi="仿宋" w:cs="仿宋_GB2312" w:hint="eastAsia"/>
          <w:sz w:val="24"/>
        </w:rPr>
        <w:t>4、生效时间：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 </w:t>
      </w:r>
      <w:r w:rsidRPr="006765DC">
        <w:rPr>
          <w:rFonts w:ascii="仿宋" w:eastAsia="仿宋" w:hAnsi="仿宋" w:cs="仿宋_GB2312" w:hint="eastAsia"/>
          <w:sz w:val="24"/>
        </w:rPr>
        <w:t>年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</w:t>
      </w:r>
      <w:r w:rsidRPr="006765DC">
        <w:rPr>
          <w:rFonts w:ascii="仿宋" w:eastAsia="仿宋" w:hAnsi="仿宋" w:cs="仿宋_GB2312"/>
          <w:sz w:val="24"/>
          <w:u w:val="single"/>
        </w:rPr>
        <w:t xml:space="preserve"> 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</w:t>
      </w:r>
      <w:r w:rsidRPr="006765DC">
        <w:rPr>
          <w:rFonts w:ascii="仿宋" w:eastAsia="仿宋" w:hAnsi="仿宋" w:cs="仿宋_GB2312" w:hint="eastAsia"/>
          <w:sz w:val="24"/>
        </w:rPr>
        <w:t>月</w:t>
      </w:r>
      <w:r w:rsidRPr="006765DC">
        <w:rPr>
          <w:rFonts w:ascii="仿宋" w:eastAsia="仿宋" w:hAnsi="仿宋" w:cs="仿宋_GB2312" w:hint="eastAsia"/>
          <w:sz w:val="24"/>
          <w:u w:val="single"/>
        </w:rPr>
        <w:t xml:space="preserve">  </w:t>
      </w:r>
      <w:r w:rsidRPr="006765DC">
        <w:rPr>
          <w:rFonts w:ascii="仿宋" w:eastAsia="仿宋" w:hAnsi="仿宋" w:cs="仿宋_GB2312"/>
          <w:sz w:val="24"/>
          <w:u w:val="single"/>
        </w:rPr>
        <w:t xml:space="preserve"> </w:t>
      </w:r>
      <w:r w:rsidRPr="006765DC">
        <w:rPr>
          <w:rFonts w:ascii="仿宋" w:eastAsia="仿宋" w:hAnsi="仿宋" w:cs="仿宋_GB2312" w:hint="eastAsia"/>
          <w:sz w:val="24"/>
        </w:rPr>
        <w:t>日</w:t>
      </w:r>
    </w:p>
    <w:p w14:paraId="31B8ADB9" w14:textId="77777777" w:rsidR="006765DC" w:rsidRPr="006765DC" w:rsidRDefault="006765DC" w:rsidP="006765DC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</w:p>
    <w:p w14:paraId="14ED648E" w14:textId="77777777" w:rsidR="006765DC" w:rsidRPr="006765DC" w:rsidRDefault="006765DC" w:rsidP="006765DC">
      <w:pPr>
        <w:pStyle w:val="1"/>
        <w:rPr>
          <w:rFonts w:ascii="仿宋" w:eastAsia="仿宋" w:hAnsi="仿宋" w:hint="eastAsia"/>
        </w:rPr>
      </w:pPr>
    </w:p>
    <w:p w14:paraId="723766F6" w14:textId="77777777" w:rsidR="006765DC" w:rsidRPr="006765DC" w:rsidRDefault="006765DC" w:rsidP="006765DC">
      <w:pPr>
        <w:pStyle w:val="1"/>
        <w:rPr>
          <w:rFonts w:ascii="仿宋" w:eastAsia="仿宋" w:hAnsi="仿宋" w:hint="eastAsi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6765DC" w:rsidRPr="006765DC" w14:paraId="2EE0FA6B" w14:textId="77777777" w:rsidTr="003218C3">
        <w:trPr>
          <w:jc w:val="center"/>
        </w:trPr>
        <w:tc>
          <w:tcPr>
            <w:tcW w:w="4643" w:type="dxa"/>
          </w:tcPr>
          <w:p w14:paraId="5275E13B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甲方名称</w:t>
            </w:r>
            <w:r w:rsidRPr="006765DC">
              <w:rPr>
                <w:rFonts w:ascii="仿宋" w:eastAsia="仿宋" w:hAnsi="仿宋" w:hint="eastAsia"/>
                <w:spacing w:val="-20"/>
                <w:kern w:val="0"/>
                <w:sz w:val="24"/>
              </w:rPr>
              <w:t>（盖章）</w:t>
            </w:r>
            <w:r w:rsidRPr="006765DC">
              <w:rPr>
                <w:rFonts w:ascii="仿宋" w:eastAsia="仿宋" w:hAnsi="仿宋" w:hint="eastAsia"/>
                <w:kern w:val="0"/>
                <w:sz w:val="24"/>
              </w:rPr>
              <w:t>:</w:t>
            </w:r>
          </w:p>
          <w:p w14:paraId="0F4E63A3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地址：</w:t>
            </w:r>
          </w:p>
          <w:p w14:paraId="4D511777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代表人（签字）：</w:t>
            </w:r>
          </w:p>
          <w:p w14:paraId="3AFE135C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电话：</w:t>
            </w:r>
          </w:p>
          <w:p w14:paraId="4039962D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开户银行：</w:t>
            </w:r>
          </w:p>
          <w:p w14:paraId="7C430972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proofErr w:type="gramStart"/>
            <w:r w:rsidRPr="006765DC">
              <w:rPr>
                <w:rFonts w:ascii="仿宋" w:eastAsia="仿宋" w:hAnsi="仿宋" w:hint="eastAsia"/>
                <w:kern w:val="0"/>
                <w:sz w:val="24"/>
              </w:rPr>
              <w:t>帐号</w:t>
            </w:r>
            <w:proofErr w:type="gramEnd"/>
            <w:r w:rsidRPr="006765DC">
              <w:rPr>
                <w:rFonts w:ascii="仿宋" w:eastAsia="仿宋" w:hAnsi="仿宋" w:hint="eastAsia"/>
                <w:kern w:val="0"/>
                <w:sz w:val="24"/>
              </w:rPr>
              <w:t>：</w:t>
            </w:r>
          </w:p>
        </w:tc>
        <w:tc>
          <w:tcPr>
            <w:tcW w:w="4643" w:type="dxa"/>
          </w:tcPr>
          <w:p w14:paraId="32CE5719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乙方名称</w:t>
            </w:r>
            <w:r w:rsidRPr="006765DC">
              <w:rPr>
                <w:rFonts w:ascii="仿宋" w:eastAsia="仿宋" w:hAnsi="仿宋" w:hint="eastAsia"/>
                <w:spacing w:val="-20"/>
                <w:kern w:val="0"/>
                <w:sz w:val="24"/>
              </w:rPr>
              <w:t>（盖章）</w:t>
            </w:r>
            <w:r w:rsidRPr="006765DC">
              <w:rPr>
                <w:rFonts w:ascii="仿宋" w:eastAsia="仿宋" w:hAnsi="仿宋" w:hint="eastAsia"/>
                <w:kern w:val="0"/>
                <w:sz w:val="24"/>
              </w:rPr>
              <w:t>:</w:t>
            </w:r>
          </w:p>
          <w:p w14:paraId="30F01726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地址：</w:t>
            </w:r>
          </w:p>
          <w:p w14:paraId="05B4E812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代表人（签字）：</w:t>
            </w:r>
          </w:p>
          <w:p w14:paraId="0837B729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电话：</w:t>
            </w:r>
          </w:p>
          <w:p w14:paraId="5C7A5159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 w:rsidRPr="006765DC">
              <w:rPr>
                <w:rFonts w:ascii="仿宋" w:eastAsia="仿宋" w:hAnsi="仿宋" w:hint="eastAsia"/>
                <w:kern w:val="0"/>
                <w:sz w:val="24"/>
              </w:rPr>
              <w:t>开户银行：</w:t>
            </w:r>
          </w:p>
          <w:p w14:paraId="5B8F98AD" w14:textId="77777777" w:rsidR="006765DC" w:rsidRPr="006765DC" w:rsidRDefault="006765DC" w:rsidP="003218C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proofErr w:type="gramStart"/>
            <w:r w:rsidRPr="006765DC">
              <w:rPr>
                <w:rFonts w:ascii="仿宋" w:eastAsia="仿宋" w:hAnsi="仿宋" w:hint="eastAsia"/>
                <w:kern w:val="0"/>
                <w:sz w:val="24"/>
              </w:rPr>
              <w:t>帐号</w:t>
            </w:r>
            <w:proofErr w:type="gramEnd"/>
            <w:r w:rsidRPr="006765DC">
              <w:rPr>
                <w:rFonts w:ascii="仿宋" w:eastAsia="仿宋" w:hAnsi="仿宋" w:hint="eastAsia"/>
                <w:kern w:val="0"/>
                <w:sz w:val="24"/>
              </w:rPr>
              <w:t>：</w:t>
            </w:r>
          </w:p>
        </w:tc>
      </w:tr>
    </w:tbl>
    <w:p w14:paraId="1FE7E563" w14:textId="77777777" w:rsidR="00511069" w:rsidRPr="006765DC" w:rsidRDefault="00511069" w:rsidP="006765DC"/>
    <w:sectPr w:rsidR="00511069" w:rsidRPr="00676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6ADC" w14:textId="77777777" w:rsidR="00204D22" w:rsidRDefault="00204D22" w:rsidP="00BD2D7B">
      <w:r>
        <w:separator/>
      </w:r>
    </w:p>
  </w:endnote>
  <w:endnote w:type="continuationSeparator" w:id="0">
    <w:p w14:paraId="148FCE06" w14:textId="77777777" w:rsidR="00204D22" w:rsidRDefault="00204D22" w:rsidP="00BD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8BC77" w14:textId="77777777" w:rsidR="00204D22" w:rsidRDefault="00204D22" w:rsidP="00BD2D7B">
      <w:r>
        <w:separator/>
      </w:r>
    </w:p>
  </w:footnote>
  <w:footnote w:type="continuationSeparator" w:id="0">
    <w:p w14:paraId="5E16CE2A" w14:textId="77777777" w:rsidR="00204D22" w:rsidRDefault="00204D22" w:rsidP="00BD2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1520C3"/>
    <w:rsid w:val="00163566"/>
    <w:rsid w:val="00204D22"/>
    <w:rsid w:val="00511069"/>
    <w:rsid w:val="005F0284"/>
    <w:rsid w:val="00614B09"/>
    <w:rsid w:val="006765DC"/>
    <w:rsid w:val="006D00BF"/>
    <w:rsid w:val="00707424"/>
    <w:rsid w:val="008325C1"/>
    <w:rsid w:val="00A324D5"/>
    <w:rsid w:val="00AF3757"/>
    <w:rsid w:val="00B20265"/>
    <w:rsid w:val="00BD2D7B"/>
    <w:rsid w:val="00EE5228"/>
    <w:rsid w:val="00F046B5"/>
    <w:rsid w:val="00FD5616"/>
    <w:rsid w:val="5215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A48FC"/>
  <w15:docId w15:val="{CCCDD308-AA4E-4298-B9CB-B050BDBB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4"/>
    <w:semiHidden/>
    <w:qFormat/>
    <w:rPr>
      <w:rFonts w:ascii="黑体" w:eastAsia="黑体" w:hAnsi="黑体" w:cs="黑体"/>
      <w:sz w:val="16"/>
      <w:szCs w:val="16"/>
      <w:lang w:eastAsia="en-US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4">
    <w:name w:val="header"/>
    <w:basedOn w:val="a"/>
    <w:link w:val="a5"/>
    <w:rsid w:val="00BD2D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BD2D7B"/>
    <w:rPr>
      <w:kern w:val="2"/>
      <w:sz w:val="18"/>
      <w:szCs w:val="18"/>
    </w:rPr>
  </w:style>
  <w:style w:type="paragraph" w:styleId="a6">
    <w:name w:val="footer"/>
    <w:basedOn w:val="a"/>
    <w:link w:val="a7"/>
    <w:rsid w:val="00BD2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BD2D7B"/>
    <w:rPr>
      <w:kern w:val="2"/>
      <w:sz w:val="18"/>
      <w:szCs w:val="18"/>
    </w:rPr>
  </w:style>
  <w:style w:type="paragraph" w:customStyle="1" w:styleId="1">
    <w:name w:val="正文缩进1"/>
    <w:basedOn w:val="a"/>
    <w:qFormat/>
    <w:rsid w:val="00BD2D7B"/>
    <w:pPr>
      <w:ind w:firstLineChars="200" w:firstLine="420"/>
    </w:pPr>
    <w:rPr>
      <w:rFonts w:ascii="Times New Roman" w:eastAsia="Arial Unicode MS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1441</Words>
  <Characters>1485</Characters>
  <Application>Microsoft Office Word</Application>
  <DocSecurity>0</DocSecurity>
  <Lines>92</Lines>
  <Paragraphs>91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j@x</dc:creator>
  <cp:lastModifiedBy>石 熊</cp:lastModifiedBy>
  <cp:revision>6</cp:revision>
  <dcterms:created xsi:type="dcterms:W3CDTF">2025-10-27T08:24:00Z</dcterms:created>
  <dcterms:modified xsi:type="dcterms:W3CDTF">2026-04-07T01:58:00Z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C4D93B529E544CB4888F593ED2848BAB_11</vt:lpwstr>
  </property>
  <property fmtid="{D5CDD505-2E9C-101B-9397-08002B2CF9AE}" pid="4" name="KSOTemplateDocerSaveRecord">
    <vt:lpwstr>eyJoZGlkIjoiZjE1YjQ4NWY2MWE2Y2ZiNzE4NTU1MjQ3YTY1ZWQwZjAiLCJ1c2VySWQiOiI1NTM3MTk1MjIifQ==</vt:lpwstr>
  </property>
</Properties>
</file>