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版本号：ZCSP-渭南市-2026-0005220260409001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市级机关周转房物业管理项目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ZCSP-渭南市-2026-00052</w:t>
      </w:r>
      <w:r>
        <w:br/>
      </w:r>
      <w:r>
        <w:br/>
      </w:r>
      <w:r>
        <w:br/>
      </w:r>
    </w:p>
    <w:p>
      <w:pPr>
        <w:pStyle w:val="null3"/>
        <w:jc w:val="center"/>
        <w:outlineLvl w:val="2"/>
      </w:pPr>
      <w:r>
        <w:rPr>
          <w:rFonts w:ascii="仿宋_GB2312" w:hAnsi="仿宋_GB2312" w:cs="仿宋_GB2312" w:eastAsia="仿宋_GB2312"/>
          <w:sz w:val="28"/>
          <w:b/>
        </w:rPr>
        <w:t>中共渭南市委办公室</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中共渭南市委办公室</w:t>
      </w:r>
      <w:r>
        <w:rPr>
          <w:rFonts w:ascii="仿宋_GB2312" w:hAnsi="仿宋_GB2312" w:cs="仿宋_GB2312" w:eastAsia="仿宋_GB2312"/>
        </w:rPr>
        <w:t>委托，拟对</w:t>
      </w:r>
      <w:r>
        <w:rPr>
          <w:rFonts w:ascii="仿宋_GB2312" w:hAnsi="仿宋_GB2312" w:cs="仿宋_GB2312" w:eastAsia="仿宋_GB2312"/>
        </w:rPr>
        <w:t>市级机关周转房物业管理项目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ZCSP-渭南市-2026-00052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市级机关周转房物业管理项目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负责市级机关周转房楼内及楼周边区域的保洁服务、秩序维护服务、工程维修服务、花卉租摆服务、电梯维保及年检、周转用房服务。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采购包1（市级机关周转房物业管理项目）：属于专门面向中小企业采购。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提供合法注册的法人或其他组织的营业执照等证明文件，自然人须提供的身份证明文件；：供应商需在项目电子化交易系统中按要求上传合法注册的法人或其他组织的营业执照等证明文件，自然人上传身份证明，并进行电子签章。</w:t>
      </w:r>
    </w:p>
    <w:p>
      <w:pPr>
        <w:pStyle w:val="null3"/>
      </w:pPr>
      <w:r>
        <w:rPr>
          <w:rFonts w:ascii="仿宋_GB2312" w:hAnsi="仿宋_GB2312" w:cs="仿宋_GB2312" w:eastAsia="仿宋_GB2312"/>
        </w:rPr>
        <w:t>2、供应商应授权合法的人员参加政府采购活动的，（供应商为法人单位的）法定代表人亲自参加时，须提供本人身份证复印件；法定代表人授权他人参加时，须提供法定代表人委托授权书及授权代表身份证。（供应商为非法人单位的）响应文件中凡是需要法定代表人签字或盖章之处，非法人单位的负责人均参照执行；法人的分支机构参与时，响应文件中应附法人给分支机构出具的授权书。授权书附在《法定代表人授权委托书》后，如无授权，将被视为无效文件。法人只能授权一家分支机构参与，且不能与分支机构同时参与。：供应商需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参与政府采购活动前三年内在经营活动中没有重大违法记录的书面声明；：供应商需在项目电子化交易系统中按要求上传参与政府采购活动前三年内在经营活动中没有重大违法记录的书面声明，并进行电子签章。</w:t>
      </w:r>
    </w:p>
    <w:p>
      <w:pPr>
        <w:pStyle w:val="null3"/>
      </w:pPr>
      <w:r>
        <w:rPr>
          <w:rFonts w:ascii="仿宋_GB2312" w:hAnsi="仿宋_GB2312" w:cs="仿宋_GB2312" w:eastAsia="仿宋_GB2312"/>
        </w:rPr>
        <w:t>4、供应商须提供递交投标文件截止之日前一年内任意三个月的完税证明及缴纳社会保险证明，依法免税的、依法不需要缴纳社会保障资金的应提供相关文件证明；：供应商需在项目电子化交易系统中按要求上传前一年内任意三个月的完税证明及缴纳社会保险证明，免税的、依法不需要缴纳社会保障资金的上传相关证明文件，并进行电子签章。</w:t>
      </w:r>
    </w:p>
    <w:p>
      <w:pPr>
        <w:pStyle w:val="null3"/>
      </w:pPr>
      <w:r>
        <w:rPr>
          <w:rFonts w:ascii="仿宋_GB2312" w:hAnsi="仿宋_GB2312" w:cs="仿宋_GB2312" w:eastAsia="仿宋_GB2312"/>
        </w:rPr>
        <w:t>5、供应商须提供提供递交2024年或2025年任意一个年度经审计的财务报告（包括“四表一注”，即资产负债表、利润表、现金流量表、所有者权益变动表及其附注，符合《中小企业划型标准规定》的小型企业按照《小企业会计准则》执行或磋商前六个月内其基本账户银行出具的资信证明。成立时间至提交响应文件截止时间不足一年的可提供成立后任意时段的资产负债表），审计报告须具有注册会计师行业统一监管平台赋予的验证码。：供应商需在项目电子化交易系统中按要求上传证明，并进行电子签章。</w:t>
      </w:r>
    </w:p>
    <w:p>
      <w:pPr>
        <w:pStyle w:val="null3"/>
      </w:pPr>
      <w:r>
        <w:rPr>
          <w:rFonts w:ascii="仿宋_GB2312" w:hAnsi="仿宋_GB2312" w:cs="仿宋_GB2312" w:eastAsia="仿宋_GB2312"/>
        </w:rPr>
        <w:t>6、信用记录：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供应商信用记录书面声明函》，并进行电子签章。</w:t>
      </w:r>
    </w:p>
    <w:p>
      <w:pPr>
        <w:pStyle w:val="null3"/>
      </w:pPr>
      <w:r>
        <w:rPr>
          <w:rFonts w:ascii="仿宋_GB2312" w:hAnsi="仿宋_GB2312" w:cs="仿宋_GB2312" w:eastAsia="仿宋_GB2312"/>
        </w:rPr>
        <w:t>7、本项目不接受联合体投标，不允许分包。投标人应提供《非联合体不分包投标声明》，视为独立投标，不分包；：供应商需在项目电子化交易系统中按要求上传《非联合体不分包投标声明》并进行电子签章。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中共渭南市委办公室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朝阳大街21号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中共渭南市委办公室经办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0913-2126375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中共渭南市委办公室</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中共渭南市委办公室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中共渭南市委办公室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对日常维修、养护管理，保洁服务，秩序维护服务等进行季度考核，根据考核结果，支付服务费用；服务标准不得低于《陕西省住宅小区物业服务标准》的一级标准。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中共渭南市委办公室</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联系人：渭南市政府采购中心经办</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地址：渭南市朝阳大街中银大厦1104室</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 中共渭南市委办公室经办</w:t>
      </w:r>
    </w:p>
    <w:p>
      <w:pPr>
        <w:pStyle w:val="null3"/>
      </w:pPr>
      <w:r>
        <w:rPr>
          <w:rFonts w:ascii="仿宋_GB2312" w:hAnsi="仿宋_GB2312" w:cs="仿宋_GB2312" w:eastAsia="仿宋_GB2312"/>
        </w:rPr>
        <w:t>联系电话： 0913-2126375</w:t>
      </w:r>
    </w:p>
    <w:p>
      <w:pPr>
        <w:pStyle w:val="null3"/>
      </w:pPr>
      <w:r>
        <w:rPr>
          <w:rFonts w:ascii="仿宋_GB2312" w:hAnsi="仿宋_GB2312" w:cs="仿宋_GB2312" w:eastAsia="仿宋_GB2312"/>
        </w:rPr>
        <w:t>地址：朝阳大街21号</w:t>
      </w:r>
    </w:p>
    <w:p>
      <w:pPr>
        <w:pStyle w:val="null3"/>
      </w:pPr>
      <w:r>
        <w:rPr>
          <w:rFonts w:ascii="仿宋_GB2312" w:hAnsi="仿宋_GB2312" w:cs="仿宋_GB2312" w:eastAsia="仿宋_GB2312"/>
        </w:rPr>
        <w:t>邮编： 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负责市级机关周转房楼内及楼周边区域的保洁服务、秩序维护服务、工程维修服务、花卉租摆服务、电梯维保及年检、周转用房服务。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1,550,000.00</w:t>
      </w:r>
    </w:p>
    <w:p>
      <w:pPr>
        <w:pStyle w:val="null3"/>
      </w:pPr>
      <w:r>
        <w:rPr>
          <w:rFonts w:ascii="仿宋_GB2312" w:hAnsi="仿宋_GB2312" w:cs="仿宋_GB2312" w:eastAsia="仿宋_GB2312"/>
        </w:rPr>
        <w:t>采购包最高限价（元）: 1,550,000.00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周转房物业管理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标的名称：周转房物业管理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一、服务范围 负责市级机关周转房楼内及楼周边区域的保洁服务、秩序维护服务、工程维修服务、花卉租摆服务、电梯维保及年检、周转用房服务。不包含空调系统维保及消防维保服务，服务所需设备、工具及耗材（包含电梯配件更换）由采购人负责购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（一）日常维修、养护管理 市级机关周转房楼内的日常维修和养护，包含楼梯间、走廊通道、公共卫生间、地下停车场、办公室、周转用房、餐厅（不包含餐厅后厨设备及家具）的共用设施设备的维修、养护和管理。 服务范围内的供配电系统、给排水系统的维修和养护，电梯维保及检测。不包含空调系统和消防系统维保、消防系统联动调试（出具报告）及消防器材（含灭火器）的更换。及时清理雨污水井。 服务所需设备、工具及耗材（包含电梯配件更换）由采购人购买。</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（二）保洁服务 负责市级机关周转房楼内公共环境的清洁保洁，包括楼内楼梯间、门厅、电梯间、走廊通道、公区标识、垃圾桶、公共卫生间、地下停车场等公共区域。 负责市级机关周转房楼外的道路、行人道、行车道等室外部分（含绿化带）的卫生保洁，垃圾的收集、清运。防疫消杀由采购人委托专业机构负责。</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（三）秩序维护 负责市级机关周转房的秩序维护及突发事件处理，负责门岗值守，访客登记及监控的24小时值班工作。不包含消防控制室的值守。 负责地下车库车辆进出、停放的秩序及安全防范工作。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（四）临时周转用房服务 负责周转用房的日常保洁，更换各类必需品，联系跟进维修等事宜。</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（五）绿植租摆服务 负责市级机关周转房公共区域的绿植租摆，定期浇水、养护，根据季节及绿植情况及时更换。</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（六）客户服务 负责市级机关周转房的客服工作，处理业主报修、投诉等工作，及时跟进反馈。对火灾、水浸、电梯困人等突发事件制定应急预案，协助缴纳水电费。配合采购人相关工作安排。</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1.项目主管1人，要求有3年以上管理物业项目经验，持有物业管理师技能等级证书，熟悉ISO9001质量管理等体系，具有一定的沟通、协调能力，能熟练使用计算机，办事有条理，工作严谨认真。 2.项目领班1人，要求有2年以上管理物业项目经验，具有一定的沟通、协调能力以及较强的抗压能力。 3.水电维修工1人，要求工程人员持证上岗。 4.楼内公区保洁员8人，要求年龄50周岁以下（含50周岁），3年以上清洁服务工作经验，动手能力强，业务熟练，身体健康，肯吃苦耐劳。 5.室外保洁员3人，要求年龄55周岁以下（含55周岁），3年以上清洁服务工作经验，动手能力强，业务熟练，身体健康，肯吃苦耐劳。 6.入室服务员5人，要求年龄45周岁以下（含45周岁），3年以上清洁服务工作经验，动手能力强，业务熟练，身体健康，肯吃苦耐劳。 7.秩序员5人，要求身体健康，品德优良，思想作风过硬，听指挥，守纪律，工作责任心强。初中以上文化，能说标准的普通话。年龄45周岁以下（含45周岁）、男性身高1.70米以上，女性身高1.65米以上。退伍军人、中共党员、民主党派积极分子优先。 合计24人。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自合同签订后一年，本合同到期前两个月，甲、乙双方对本合同继续履行无异议，双方续签一年合同，如有异议则提出书面说明。</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渭南市朝阳大街21号。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服务标准不得低于《陕西省住宅小区物业服务标准》的一级标准。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每服务满三个月</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每服务满三个月</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每服务满三个月</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每服务满三个月</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1.乙方提供的服务达不到合同约定标准，甲方有权要求乙方限期整改，整改后仍达不到约定服务标准的，甲方有权解除合同，如造成经济损失的，乙方应予以赔偿。 2.本合同未尽事宜，双方应友好协商，可以书面形式签订补充协议，补充协议与本合同具有同等法律效力。本合同补充协议仍未规定的事宜，按照国家和地方有关法律法规和规章执行。对合同履行当中的争议，双方应友好协商，协商不一致时，可申请陕西省物业管理协会调解，仍不能取得一致时，可向甲方所在地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本项目由磋商小组进行资格审查。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参与的供应商应为中型企业、小型企业、微型企业或监狱企业或残疾人福利性单位。供应商为中小企业的，提供《中小企业声明函》，且中小企业的划分标准所属行业为餐饮业；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供应商须提供合法注册的法人或其他组织的营业执照等证明文件，自然人须提供的身份证明文件；</w:t>
            </w:r>
          </w:p>
        </w:tc>
        <w:tc>
          <w:tcPr>
            <w:tcW w:type="dxa" w:w="3322"/>
          </w:tcPr>
          <w:p>
            <w:pPr>
              <w:pStyle w:val="null3"/>
            </w:pPr>
            <w:r>
              <w:rPr>
                <w:rFonts w:ascii="仿宋_GB2312" w:hAnsi="仿宋_GB2312" w:cs="仿宋_GB2312" w:eastAsia="仿宋_GB2312"/>
              </w:rPr>
              <w:t>供应商需在项目电子化交易系统中按要求上传合法注册的法人或其他组织的营业执照等证明文件，自然人上传身份证明，并进行电子签章。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政府采购活动的，（供应商为法人单位的）法定代表人亲自参加时，须提供本人身份证复印件；法定代表人授权他人参加时，须提供法定代表人委托授权书及授权代表身份证。（供应商为非法人单位的）响应文件中凡是需要法定代表人签字或盖章之处，非法人单位的负责人均参照执行；法人的分支机构参与时，响应文件中应附法人给分支机构出具的授权书。授权书附在《法定代表人授权委托书》后，如无授权，将被视为无效文件。法人只能授权一家分支机构参与，且不能与分支机构同时参与。</w:t>
            </w:r>
          </w:p>
        </w:tc>
        <w:tc>
          <w:tcPr>
            <w:tcW w:type="dxa" w:w="3322"/>
          </w:tcPr>
          <w:p>
            <w:pPr>
              <w:pStyle w:val="null3"/>
            </w:pPr>
            <w:r>
              <w:rPr>
                <w:rFonts w:ascii="仿宋_GB2312" w:hAnsi="仿宋_GB2312" w:cs="仿宋_GB2312" w:eastAsia="仿宋_GB2312"/>
              </w:rPr>
              <w:t>供应商需在项目电子化交易系统中按要求上传法定代表人身份证明或法定代表人授权书及授权代表身份证证明文件，并进行电子签章。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参与政府采购活动前三年内在经营活动中没有重大违法记录的书面声明；</w:t>
            </w:r>
          </w:p>
        </w:tc>
        <w:tc>
          <w:tcPr>
            <w:tcW w:type="dxa" w:w="3322"/>
          </w:tcPr>
          <w:p>
            <w:pPr>
              <w:pStyle w:val="null3"/>
            </w:pPr>
            <w:r>
              <w:rPr>
                <w:rFonts w:ascii="仿宋_GB2312" w:hAnsi="仿宋_GB2312" w:cs="仿宋_GB2312" w:eastAsia="仿宋_GB2312"/>
              </w:rPr>
              <w:t>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供应商须提供递交投标文件截止之日前一年内任意三个月的完税证明及缴纳社会保险证明，依法免税的、依法不需要缴纳社会保障资金的应提供相关文件证明；</w:t>
            </w:r>
          </w:p>
        </w:tc>
        <w:tc>
          <w:tcPr>
            <w:tcW w:type="dxa" w:w="3322"/>
          </w:tcPr>
          <w:p>
            <w:pPr>
              <w:pStyle w:val="null3"/>
            </w:pPr>
            <w:r>
              <w:rPr>
                <w:rFonts w:ascii="仿宋_GB2312" w:hAnsi="仿宋_GB2312" w:cs="仿宋_GB2312" w:eastAsia="仿宋_GB2312"/>
              </w:rPr>
              <w:t>供应商需在项目电子化交易系统中按要求上传前一年内任意三个月的完税证明及缴纳社会保险证明，免税的、依法不需要缴纳社会保障资金的上传相关证明文件，并进行电子签章。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须提供提供递交2024年或2025年任意一个年度经审计的财务报告（包括“四表一注”，即资产负债表、利润表、现金流量表、所有者权益变动表及其附注，符合《中小企业划型标准规定》的小型企业按照《小企业会计准则》执行或磋商前六个月内其基本账户银行出具的资信证明。成立时间至提交响应文件截止时间不足一年的可提供成立后任意时段的资产负债表），审计报告须具有注册会计师行业统一监管平台赋予的验证码。</w:t>
            </w:r>
          </w:p>
        </w:tc>
        <w:tc>
          <w:tcPr>
            <w:tcW w:type="dxa" w:w="3322"/>
          </w:tcPr>
          <w:p>
            <w:pPr>
              <w:pStyle w:val="null3"/>
            </w:pPr>
            <w:r>
              <w:rPr>
                <w:rFonts w:ascii="仿宋_GB2312" w:hAnsi="仿宋_GB2312" w:cs="仿宋_GB2312" w:eastAsia="仿宋_GB2312"/>
              </w:rPr>
              <w:t>供应商需在项目电子化交易系统中按要求上传证明，并进行电子签章。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w:t>
            </w:r>
          </w:p>
        </w:tc>
        <w:tc>
          <w:tcPr>
            <w:tcW w:type="dxa" w:w="3322"/>
          </w:tcPr>
          <w:p>
            <w:pPr>
              <w:pStyle w:val="null3"/>
            </w:pPr>
            <w:r>
              <w:rPr>
                <w:rFonts w:ascii="仿宋_GB2312" w:hAnsi="仿宋_GB2312" w:cs="仿宋_GB2312" w:eastAsia="仿宋_GB2312"/>
              </w:rPr>
              <w:t>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本项目不接受联合体投标，不允许分包。投标人应提供《非联合体不分包投标声明》，视为独立投标，不分包；</w:t>
            </w:r>
          </w:p>
        </w:tc>
        <w:tc>
          <w:tcPr>
            <w:tcW w:type="dxa" w:w="3322"/>
          </w:tcPr>
          <w:p>
            <w:pPr>
              <w:pStyle w:val="null3"/>
            </w:pPr>
            <w:r>
              <w:rPr>
                <w:rFonts w:ascii="仿宋_GB2312" w:hAnsi="仿宋_GB2312" w:cs="仿宋_GB2312" w:eastAsia="仿宋_GB2312"/>
              </w:rPr>
              <w:t>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响应文件项目名称、项目编号</w:t>
            </w:r>
          </w:p>
        </w:tc>
        <w:tc>
          <w:tcPr>
            <w:tcW w:type="dxa" w:w="3322"/>
          </w:tcPr>
          <w:p>
            <w:pPr>
              <w:pStyle w:val="null3"/>
            </w:pPr>
            <w:r>
              <w:rPr>
                <w:rFonts w:ascii="仿宋_GB2312" w:hAnsi="仿宋_GB2312" w:cs="仿宋_GB2312" w:eastAsia="仿宋_GB2312"/>
              </w:rPr>
              <w:t>响应文件以下三处的项目名称、项目编号无遗漏，且与本项目一致： （1）封面； （2）响应函； （3）法定代表人委托授权书。 说明：以磋商邀请函中的项目名称、项目编号为准。</w:t>
            </w:r>
          </w:p>
        </w:tc>
        <w:tc>
          <w:tcPr>
            <w:tcW w:type="dxa" w:w="1661"/>
          </w:tcPr>
          <w:p>
            <w:pPr>
              <w:pStyle w:val="null3"/>
            </w:pPr>
            <w:r>
              <w:rPr>
                <w:rFonts w:ascii="仿宋_GB2312" w:hAnsi="仿宋_GB2312" w:cs="仿宋_GB2312" w:eastAsia="仿宋_GB2312"/>
              </w:rPr>
              <w:t>响应文件封面 法定代表人证明书或授权委托书.docx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签字、盖章符合磋商文件要求，且无遗漏。</w:t>
            </w:r>
          </w:p>
        </w:tc>
        <w:tc>
          <w:tcPr>
            <w:tcW w:type="dxa" w:w="1661"/>
          </w:tcPr>
          <w:p>
            <w:pPr>
              <w:pStyle w:val="null3"/>
            </w:pPr>
            <w:r>
              <w:rPr>
                <w:rFonts w:ascii="仿宋_GB2312" w:hAnsi="仿宋_GB2312" w:cs="仿宋_GB2312" w:eastAsia="仿宋_GB2312"/>
              </w:rPr>
              <w:t>三年内无重大违法记录书面声明函.docx 服务内容及服务邀请应答表 业绩证明.docx 中小企业声明函 商务应答表 供应商承诺书（一）（二）.docx 供应商应提交的相关资格证明材料 报价表 非联合体不分包投标声明.docx 响应文件封面 信用记录声明.docx 合同文本.docx 法定代表人证明书或授权委托书.docx 残疾人福利性单位声明函 人员方案等.docx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 （2）第一次磋商报价表填写符合要求； （3）报价货币符合磋商文件要求； （4）未超出采购预算或磋商文件规定的最高限价。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完全理解并接受磋商文件合同条款的要求。</w:t>
            </w:r>
          </w:p>
        </w:tc>
        <w:tc>
          <w:tcPr>
            <w:tcW w:type="dxa" w:w="1661"/>
          </w:tcPr>
          <w:p>
            <w:pPr>
              <w:pStyle w:val="null3"/>
            </w:pPr>
            <w:r>
              <w:rPr>
                <w:rFonts w:ascii="仿宋_GB2312" w:hAnsi="仿宋_GB2312" w:cs="仿宋_GB2312" w:eastAsia="仿宋_GB2312"/>
              </w:rPr>
              <w:t>响应文件封面 合同文本.docx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响应文件封面 供应商承诺书（一）（二）.docx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经过有效性和符合性审核合格的投标人，对合同主要条款中付款、交货、验收、售后服务等方面进行响应说明，按其响应程度计0-10分。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管理及服务方案</w:t>
            </w:r>
          </w:p>
        </w:tc>
        <w:tc>
          <w:tcPr>
            <w:tcW w:type="dxa" w:w="2492"/>
          </w:tcPr>
          <w:p>
            <w:pPr>
              <w:pStyle w:val="null3"/>
            </w:pPr>
            <w:r>
              <w:rPr>
                <w:rFonts w:ascii="仿宋_GB2312" w:hAnsi="仿宋_GB2312" w:cs="仿宋_GB2312" w:eastAsia="仿宋_GB2312"/>
              </w:rPr>
              <w:t>1.物业管理及服务总体方案符合实地要求，详细，合理，全面，包含项目分析、服务定位、服务目标、服务理念、服务标准及承诺等，按其响应程度计0-6分。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管理及服务方案</w:t>
            </w:r>
          </w:p>
        </w:tc>
        <w:tc>
          <w:tcPr>
            <w:tcW w:type="dxa" w:w="2492"/>
          </w:tcPr>
          <w:p>
            <w:pPr>
              <w:pStyle w:val="null3"/>
            </w:pPr>
            <w:r>
              <w:rPr>
                <w:rFonts w:ascii="仿宋_GB2312" w:hAnsi="仿宋_GB2312" w:cs="仿宋_GB2312" w:eastAsia="仿宋_GB2312"/>
              </w:rPr>
              <w:t>2.供应商制定的办公楼的日常维修、养护及设备设施的管理，保洁服务、花卉租摆服务，秩序维护服务，消防服务，地下及地面（含非机动车）停车场服务，客户服务等专项服务方案全面、详细、针对性强且重点突出，保障措施得力，按其响应程度计0-15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管理及服务方案</w:t>
            </w:r>
          </w:p>
        </w:tc>
        <w:tc>
          <w:tcPr>
            <w:tcW w:type="dxa" w:w="2492"/>
          </w:tcPr>
          <w:p>
            <w:pPr>
              <w:pStyle w:val="null3"/>
            </w:pPr>
            <w:r>
              <w:rPr>
                <w:rFonts w:ascii="仿宋_GB2312" w:hAnsi="仿宋_GB2312" w:cs="仿宋_GB2312" w:eastAsia="仿宋_GB2312"/>
              </w:rPr>
              <w:t>3.根据本项目特点制定应急方案，内容包括：突发紧急事件：火灾、水灾、用电、防汛、消防、地震的应急预案；违法事件：防盗、打架斗殴、寻衅滋事的应急预案；重要活动：重要接待、重大活动的应急预案。处置措施全面、合理，按其响应程度计0-8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管理及服务方案</w:t>
            </w:r>
          </w:p>
        </w:tc>
        <w:tc>
          <w:tcPr>
            <w:tcW w:type="dxa" w:w="2492"/>
          </w:tcPr>
          <w:p>
            <w:pPr>
              <w:pStyle w:val="null3"/>
            </w:pPr>
            <w:r>
              <w:rPr>
                <w:rFonts w:ascii="仿宋_GB2312" w:hAnsi="仿宋_GB2312" w:cs="仿宋_GB2312" w:eastAsia="仿宋_GB2312"/>
              </w:rPr>
              <w:t>4.针对本项目制定保密方案，方案包括：保密管理制度及保密培训。方案必需全面、完整、可实施性，按其响应程度计0-5分。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管理及服务方案</w:t>
            </w:r>
          </w:p>
        </w:tc>
        <w:tc>
          <w:tcPr>
            <w:tcW w:type="dxa" w:w="2492"/>
          </w:tcPr>
          <w:p>
            <w:pPr>
              <w:pStyle w:val="null3"/>
            </w:pPr>
            <w:r>
              <w:rPr>
                <w:rFonts w:ascii="仿宋_GB2312" w:hAnsi="仿宋_GB2312" w:cs="仿宋_GB2312" w:eastAsia="仿宋_GB2312"/>
              </w:rPr>
              <w:t>5.提供组织机构保证方案，方案内容包括：组织机构设置方案；专业服务团队的职能分工方案。方案具备完整性、可实施性、针对性。按其响应程度计0-6分。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管理及服务方案</w:t>
            </w:r>
          </w:p>
        </w:tc>
        <w:tc>
          <w:tcPr>
            <w:tcW w:type="dxa" w:w="2492"/>
          </w:tcPr>
          <w:p>
            <w:pPr>
              <w:pStyle w:val="null3"/>
            </w:pPr>
            <w:r>
              <w:rPr>
                <w:rFonts w:ascii="仿宋_GB2312" w:hAnsi="仿宋_GB2312" w:cs="仿宋_GB2312" w:eastAsia="仿宋_GB2312"/>
              </w:rPr>
              <w:t>6.针对本项目制定培训考核方案，内容包括培训：针对不同的岗位职责、行为规范、服务礼仪等方面的培训内容；考核：针对不同的岗位、制度等制定考核方案。按其响应程度计0-6分。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管理及服务方案</w:t>
            </w:r>
          </w:p>
        </w:tc>
        <w:tc>
          <w:tcPr>
            <w:tcW w:type="dxa" w:w="2492"/>
          </w:tcPr>
          <w:p>
            <w:pPr>
              <w:pStyle w:val="null3"/>
            </w:pPr>
            <w:r>
              <w:rPr>
                <w:rFonts w:ascii="仿宋_GB2312" w:hAnsi="仿宋_GB2312" w:cs="仿宋_GB2312" w:eastAsia="仿宋_GB2312"/>
              </w:rPr>
              <w:t>7.据本项目提出详细的水电等节能降耗方案，内容包括：节能降耗原则、节能降耗的具体措施。按其响应程度计0-5分。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管理及服务方案</w:t>
            </w:r>
          </w:p>
        </w:tc>
        <w:tc>
          <w:tcPr>
            <w:tcW w:type="dxa" w:w="2492"/>
          </w:tcPr>
          <w:p>
            <w:pPr>
              <w:pStyle w:val="null3"/>
            </w:pPr>
            <w:r>
              <w:rPr>
                <w:rFonts w:ascii="仿宋_GB2312" w:hAnsi="仿宋_GB2312" w:cs="仿宋_GB2312" w:eastAsia="仿宋_GB2312"/>
              </w:rPr>
              <w:t>8.制定消防、安全管理措施，方案全面、详细、具有可实施性。按其响应程度计0-5分。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企业管理制度、文化</w:t>
            </w:r>
          </w:p>
        </w:tc>
        <w:tc>
          <w:tcPr>
            <w:tcW w:type="dxa" w:w="2492"/>
          </w:tcPr>
          <w:p>
            <w:pPr>
              <w:pStyle w:val="null3"/>
            </w:pPr>
            <w:r>
              <w:rPr>
                <w:rFonts w:ascii="仿宋_GB2312" w:hAnsi="仿宋_GB2312" w:cs="仿宋_GB2312" w:eastAsia="仿宋_GB2312"/>
              </w:rPr>
              <w:t>具有健全的管理制度，包括人员管理制度：具有员工日常管理办法、请销假制度、奖惩措施、人员安全责任制度、仪容仪表制度；财务制度；良好的企业文化等。方案具有完整性、可实施性及针对性，按其相应程度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1.拟派负责本项目的项目主管具备大专及以上学历，计2分；持物业管理相关证书，计2分；具有类似物业项目管理经验，计1分。按其响应程度计0-5分。 注：未提供社保证明此项不得分。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人员方案等.docx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2.拟投入本项目的服务人员配备齐全，根据国家规范持证上岗，包含电工证书、物业技能等级证书等，满足本次物业管理及服务需求，提供1个证书得2分，满分4分，按其响应程度计0-4分。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人员方案等.docx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提供2023年1月1日之后的物业服务合同，要求合同完整，能体现甲乙双方名称、合同期限、服务内容、合同金额及盖章。每提供一个得2分，最高得10分。按其响应程度计0-10分。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满足招标文件要求且投标价格最低的投标报价为评标基准价，其价格分为满分。其他投标供应商的价格分统一按照下列公式计算：投标报价得分=（评标基准价/投标报价）×价格权值%×100。 注：评审小组认为报价明显低于其他通过符合性审查投标人的报价，有可能影响服务质量或者不能诚信履约的，应当要求其在评审现场合理的时间内提供书面说明，必要时提交相关证明材料；投标人不能证明其报价合理性的，评审小组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详见附件：合同文本.docx</w:t>
      </w:r>
    </w:p>
    <w:p>
      <w:pPr>
        <w:pStyle w:val="null3"/>
        <w:ind w:firstLine="960"/>
      </w:pPr>
      <w:r>
        <w:rPr>
          <w:rFonts w:ascii="仿宋_GB2312" w:hAnsi="仿宋_GB2312" w:cs="仿宋_GB2312" w:eastAsia="仿宋_GB2312"/>
        </w:rPr>
        <w:t>详见附件：业绩证明.docx</w:t>
      </w:r>
    </w:p>
    <w:p>
      <w:pPr>
        <w:pStyle w:val="null3"/>
        <w:ind w:firstLine="960"/>
      </w:pPr>
      <w:r>
        <w:rPr>
          <w:rFonts w:ascii="仿宋_GB2312" w:hAnsi="仿宋_GB2312" w:cs="仿宋_GB2312" w:eastAsia="仿宋_GB2312"/>
        </w:rPr>
        <w:t>详见附件：人员方案等.docx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详见附件：周转房合同草案.docx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