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版本号：ZCSP-渭南市-2026-00040、XACH2026-02220260407001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医疗责任险服务项目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ZCSP-渭南市-2026-00040、XACH2026-022</w:t>
      </w:r>
      <w:r>
        <w:br/>
      </w:r>
      <w:r>
        <w:br/>
      </w:r>
      <w:r>
        <w:br/>
      </w:r>
    </w:p>
    <w:p>
      <w:pPr>
        <w:pStyle w:val="null3"/>
        <w:jc w:val="center"/>
        <w:outlineLvl w:val="2"/>
      </w:pPr>
      <w:r>
        <w:rPr>
          <w:rFonts w:ascii="仿宋_GB2312" w:hAnsi="仿宋_GB2312" w:cs="仿宋_GB2312" w:eastAsia="仿宋_GB2312"/>
          <w:sz w:val="28"/>
          <w:b/>
        </w:rPr>
        <w:t>渭南市中心医院</w:t>
      </w:r>
    </w:p>
    <w:p>
      <w:pPr>
        <w:pStyle w:val="null3"/>
        <w:jc w:val="center"/>
        <w:outlineLvl w:val="2"/>
      </w:pPr>
      <w:r>
        <w:rPr>
          <w:rFonts w:ascii="仿宋_GB2312" w:hAnsi="仿宋_GB2312" w:cs="仿宋_GB2312" w:eastAsia="仿宋_GB2312"/>
          <w:sz w:val="28"/>
          <w:b/>
        </w:rPr>
        <w:t>西安辰和工程咨询有限公司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西安辰和工程咨询有限公司</w:t>
      </w:r>
      <w:r>
        <w:rPr>
          <w:rFonts w:ascii="仿宋_GB2312" w:hAnsi="仿宋_GB2312" w:cs="仿宋_GB2312" w:eastAsia="仿宋_GB2312"/>
        </w:rPr>
        <w:t>（以下简称“代理机构”）受</w:t>
      </w:r>
      <w:r>
        <w:rPr>
          <w:rFonts w:ascii="仿宋_GB2312" w:hAnsi="仿宋_GB2312" w:cs="仿宋_GB2312" w:eastAsia="仿宋_GB2312"/>
        </w:rPr>
        <w:t>渭南市中心医院</w:t>
      </w:r>
      <w:r>
        <w:rPr>
          <w:rFonts w:ascii="仿宋_GB2312" w:hAnsi="仿宋_GB2312" w:cs="仿宋_GB2312" w:eastAsia="仿宋_GB2312"/>
        </w:rPr>
        <w:t>委托，拟对</w:t>
      </w:r>
      <w:r>
        <w:rPr>
          <w:rFonts w:ascii="仿宋_GB2312" w:hAnsi="仿宋_GB2312" w:cs="仿宋_GB2312" w:eastAsia="仿宋_GB2312"/>
        </w:rPr>
        <w:t>医疗责任险服务项目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ZCSP-渭南市-2026-00040、XACH2026-022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医疗责任险服务项目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医疗责任险服务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磋商全过程：法定代表人（负责人）授权委托书（附法定代表人（负责人）身份证复印件）及被授权委托人身份证（法定代表人（负责人）参加磋商只需提供法定代表人（负责人）身份证）；供应商需在项目电子化交易系统中按要求上传相应证明文件并进行电子签章。</w:t>
      </w:r>
    </w:p>
    <w:p>
      <w:pPr>
        <w:pStyle w:val="null3"/>
      </w:pPr>
      <w:r>
        <w:rPr>
          <w:rFonts w:ascii="仿宋_GB2312" w:hAnsi="仿宋_GB2312" w:cs="仿宋_GB2312" w:eastAsia="仿宋_GB2312"/>
        </w:rPr>
        <w:t>3、有依法缴纳税收和社会保障资金的良好记录：供应商提供依法缴纳税收和社会保障资金的相关材料，依法免税的供应商应具有税务部门出具的证明文件；依法不需要缴纳社会保障资金的供应商，需具有社保部门出具的证明文件；供应商需在项目电子化交易系统中按要求上传相应证明文件并进行电子签章。</w:t>
      </w:r>
    </w:p>
    <w:p>
      <w:pPr>
        <w:pStyle w:val="null3"/>
      </w:pPr>
      <w:r>
        <w:rPr>
          <w:rFonts w:ascii="仿宋_GB2312" w:hAnsi="仿宋_GB2312" w:cs="仿宋_GB2312" w:eastAsia="仿宋_GB2312"/>
        </w:rPr>
        <w:t>4、供应商具有良好的商业信誉和健全的财务会计制度：供应商提供2024年度或2025年度财务审计报告或磋商前3个月内供应商基本账户银行出具的资信证明；供应商需在项目电子化交易系统中按要求上传相应证明文件并进行电子签章。</w:t>
      </w:r>
    </w:p>
    <w:p>
      <w:pPr>
        <w:pStyle w:val="null3"/>
      </w:pPr>
      <w:r>
        <w:rPr>
          <w:rFonts w:ascii="仿宋_GB2312" w:hAnsi="仿宋_GB2312" w:cs="仿宋_GB2312" w:eastAsia="仿宋_GB2312"/>
        </w:rPr>
        <w:t>5、供应商具有履行合同所必需的设备和专业技术能力：供应商具有履行合同所必需的设备和专业技术能力的声明；供应商需在项目电子化交易系统中按要求上传相应证明文件并进行电子签章。</w:t>
      </w:r>
    </w:p>
    <w:p>
      <w:pPr>
        <w:pStyle w:val="null3"/>
      </w:pPr>
      <w:r>
        <w:rPr>
          <w:rFonts w:ascii="仿宋_GB2312" w:hAnsi="仿宋_GB2312" w:cs="仿宋_GB2312" w:eastAsia="仿宋_GB2312"/>
        </w:rPr>
        <w:t>6、资质证书：供应商须具有经营责任保险业务资格，提供有效期内的保险监督管理机构颁发的《经营保险业务许可证》或《保险许可证》，（总公司取得的相关资质和指标，分支机构经总公司有效授权视为拥有同等资质和指标，总公司只允许授权1家分支机构参与磋商，且不能与分支机构同时参与）。</w:t>
      </w:r>
    </w:p>
    <w:p>
      <w:pPr>
        <w:pStyle w:val="null3"/>
      </w:pPr>
      <w:r>
        <w:rPr>
          <w:rFonts w:ascii="仿宋_GB2312" w:hAnsi="仿宋_GB2312" w:cs="仿宋_GB2312" w:eastAsia="仿宋_GB2312"/>
        </w:rPr>
        <w:t>7、供应商参加政府采购活动前三年内在经营活动中没有重大违法记录：提供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8、磋商保证金：提供磋商保证金交纳凭证；供应商需在项目电子化交易系统中按要求上传相应证明文件并进行电子签章。</w:t>
      </w:r>
    </w:p>
    <w:p>
      <w:pPr>
        <w:pStyle w:val="null3"/>
      </w:pPr>
      <w:r>
        <w:rPr>
          <w:rFonts w:ascii="仿宋_GB2312" w:hAnsi="仿宋_GB2312" w:cs="仿宋_GB2312" w:eastAsia="仿宋_GB2312"/>
        </w:rPr>
        <w:t>9、非联合体磋商：非联合体磋商声明；供应商需在项目电子化交易系统中按要求上传相应证明文件并进行电子签章。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渭南市临渭区胜利大街中段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唐老师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0913-2168363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西安辰和工程咨询有限公司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西安高新区锦业路59号高科智慧园B座四层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刘娜娜、商碧红、王文文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029-82286063、029-82285837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开户名称：西安辰和工程咨询有限公司</w:t>
            </w:r>
          </w:p>
          <w:p>
            <w:pPr>
              <w:pStyle w:val="null3"/>
            </w:pPr>
            <w:r>
              <w:rPr>
                <w:rFonts w:ascii="仿宋_GB2312" w:hAnsi="仿宋_GB2312" w:cs="仿宋_GB2312" w:eastAsia="仿宋_GB2312"/>
              </w:rPr>
              <w:t>开户银行：西安银行电子正街支行</w:t>
            </w:r>
          </w:p>
          <w:p>
            <w:pPr>
              <w:pStyle w:val="null3"/>
            </w:pPr>
            <w:r>
              <w:rPr>
                <w:rFonts w:ascii="仿宋_GB2312" w:hAnsi="仿宋_GB2312" w:cs="仿宋_GB2312" w:eastAsia="仿宋_GB2312"/>
              </w:rPr>
              <w:t>银行账号：1050 1158 0000 1008 69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成交供应商支付代理服务费，代理服务费参照《国家计委关于印发&lt;招标代理服务收费管理暂行办法&gt;的通知》（计价格〔2002〕1980号）和发改办价格〔2003〕857号以及发改价格〔2011〕534号文中规定的标准执行，按差额定率累进法收取费用，100万以下按1.5%收取，100～500万元按0.8%收取。不足5000元的按5000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渭南市中心医院</w:t>
      </w:r>
      <w:r>
        <w:rPr>
          <w:rFonts w:ascii="仿宋_GB2312" w:hAnsi="仿宋_GB2312" w:cs="仿宋_GB2312" w:eastAsia="仿宋_GB2312"/>
        </w:rPr>
        <w:t>和</w:t>
      </w:r>
      <w:r>
        <w:rPr>
          <w:rFonts w:ascii="仿宋_GB2312" w:hAnsi="仿宋_GB2312" w:cs="仿宋_GB2312" w:eastAsia="仿宋_GB2312"/>
        </w:rPr>
        <w:t>西安辰和工程咨询有限公司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渭南市中心医院</w:t>
      </w:r>
      <w:r>
        <w:rPr>
          <w:rFonts w:ascii="仿宋_GB2312" w:hAnsi="仿宋_GB2312" w:cs="仿宋_GB2312" w:eastAsia="仿宋_GB2312"/>
        </w:rPr>
        <w:t>负责解释。除上述磋商文件内容，其他内容由</w:t>
      </w:r>
      <w:r>
        <w:rPr>
          <w:rFonts w:ascii="仿宋_GB2312" w:hAnsi="仿宋_GB2312" w:cs="仿宋_GB2312" w:eastAsia="仿宋_GB2312"/>
        </w:rPr>
        <w:t>西安辰和工程咨询有限公司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西安辰和工程咨询有限公司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符合国家法律法规规定的标准、合同文本、竞争性磋商文件和竞争性磋商响应文件的要求。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联系人：刘娜娜</w:t>
      </w:r>
    </w:p>
    <w:p>
      <w:pPr>
        <w:pStyle w:val="null3"/>
      </w:pPr>
      <w:r>
        <w:rPr>
          <w:rFonts w:ascii="仿宋_GB2312" w:hAnsi="仿宋_GB2312" w:cs="仿宋_GB2312" w:eastAsia="仿宋_GB2312"/>
        </w:rPr>
        <w:t>联系电话：029-82286063、029-82285837</w:t>
      </w:r>
    </w:p>
    <w:p>
      <w:pPr>
        <w:pStyle w:val="null3"/>
      </w:pPr>
      <w:r>
        <w:rPr>
          <w:rFonts w:ascii="仿宋_GB2312" w:hAnsi="仿宋_GB2312" w:cs="仿宋_GB2312" w:eastAsia="仿宋_GB2312"/>
        </w:rPr>
        <w:t>地址：西安高新区锦业路59号高科智慧园B座四层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医疗责任险服务项目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1,400,000.00</w:t>
      </w:r>
    </w:p>
    <w:p>
      <w:pPr>
        <w:pStyle w:val="null3"/>
      </w:pPr>
      <w:r>
        <w:rPr>
          <w:rFonts w:ascii="仿宋_GB2312" w:hAnsi="仿宋_GB2312" w:cs="仿宋_GB2312" w:eastAsia="仿宋_GB2312"/>
        </w:rPr>
        <w:t>采购包最高限价（元）: 1,400,000.00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医疗责任险服务项目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标的名称：医疗责任险服务项目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一、项目概况</w:t>
            </w:r>
          </w:p>
          <w:p>
            <w:pPr>
              <w:pStyle w:val="null3"/>
              <w:jc w:val="both"/>
            </w:pPr>
            <w:r>
              <w:rPr>
                <w:rFonts w:ascii="仿宋_GB2312" w:hAnsi="仿宋_GB2312" w:cs="仿宋_GB2312" w:eastAsia="仿宋_GB2312"/>
                <w:sz w:val="21"/>
              </w:rPr>
              <w:t xml:space="preserve">1、项目名称：渭南市中心医院医疗责任险服务项目  </w:t>
            </w:r>
          </w:p>
          <w:p>
            <w:pPr>
              <w:pStyle w:val="null3"/>
              <w:jc w:val="both"/>
            </w:pPr>
            <w:r>
              <w:rPr>
                <w:rFonts w:ascii="仿宋_GB2312" w:hAnsi="仿宋_GB2312" w:cs="仿宋_GB2312" w:eastAsia="仿宋_GB2312"/>
                <w:sz w:val="21"/>
              </w:rPr>
              <w:t>2、数量：1000人</w:t>
            </w:r>
          </w:p>
          <w:p>
            <w:pPr>
              <w:pStyle w:val="null3"/>
              <w:jc w:val="both"/>
            </w:pPr>
            <w:r>
              <w:rPr>
                <w:rFonts w:ascii="仿宋_GB2312" w:hAnsi="仿宋_GB2312" w:cs="仿宋_GB2312" w:eastAsia="仿宋_GB2312"/>
                <w:sz w:val="21"/>
              </w:rPr>
              <w:t>3、预算金额:1400000.00元（本项目预算金额为一年预算）</w:t>
            </w:r>
          </w:p>
          <w:p>
            <w:pPr>
              <w:pStyle w:val="null3"/>
              <w:jc w:val="both"/>
            </w:pPr>
            <w:r>
              <w:rPr>
                <w:rFonts w:ascii="仿宋_GB2312" w:hAnsi="仿宋_GB2312" w:cs="仿宋_GB2312" w:eastAsia="仿宋_GB2312"/>
                <w:sz w:val="21"/>
              </w:rPr>
              <w:t>4、服务期限：自合同签订之日起365日历日。（合同一年一签，可续签二年。合同满一年后，经采购人主管科室考评合格，可续签合同，供应商上一年的服务不能满足采购人要求，采购人可拒绝同供应商续签）。</w:t>
            </w:r>
            <w:r>
              <w:rPr>
                <w:rFonts w:ascii="仿宋_GB2312" w:hAnsi="仿宋_GB2312" w:cs="仿宋_GB2312" w:eastAsia="仿宋_GB2312"/>
                <w:sz w:val="21"/>
                <w:b/>
              </w:rPr>
              <w:t xml:space="preserve"> </w:t>
            </w:r>
          </w:p>
          <w:p>
            <w:pPr>
              <w:pStyle w:val="null3"/>
              <w:jc w:val="both"/>
            </w:pPr>
            <w:r>
              <w:rPr>
                <w:rFonts w:ascii="仿宋_GB2312" w:hAnsi="仿宋_GB2312" w:cs="仿宋_GB2312" w:eastAsia="仿宋_GB2312"/>
                <w:sz w:val="21"/>
              </w:rPr>
              <w:t>5、售后服务要求：</w:t>
            </w:r>
          </w:p>
          <w:p>
            <w:pPr>
              <w:pStyle w:val="null3"/>
              <w:jc w:val="both"/>
            </w:pPr>
            <w:r>
              <w:rPr>
                <w:rFonts w:ascii="仿宋_GB2312" w:hAnsi="仿宋_GB2312" w:cs="仿宋_GB2312" w:eastAsia="仿宋_GB2312"/>
                <w:sz w:val="21"/>
              </w:rPr>
              <w:t>①、出险、资料收集与送达等需上门服务。</w:t>
            </w:r>
          </w:p>
          <w:p>
            <w:pPr>
              <w:pStyle w:val="null3"/>
              <w:jc w:val="both"/>
            </w:pPr>
            <w:r>
              <w:rPr>
                <w:rFonts w:ascii="仿宋_GB2312" w:hAnsi="仿宋_GB2312" w:cs="仿宋_GB2312" w:eastAsia="仿宋_GB2312"/>
                <w:sz w:val="21"/>
              </w:rPr>
              <w:t>②、承保公司应定期向医院提供接报案清单、未决案件处理进度、赔付案件情况等理赔信息。</w:t>
            </w:r>
          </w:p>
          <w:p>
            <w:pPr>
              <w:pStyle w:val="null3"/>
              <w:jc w:val="both"/>
            </w:pPr>
            <w:r>
              <w:rPr>
                <w:rFonts w:ascii="仿宋_GB2312" w:hAnsi="仿宋_GB2312" w:cs="仿宋_GB2312" w:eastAsia="仿宋_GB2312"/>
                <w:sz w:val="21"/>
              </w:rPr>
              <w:t>③、对于案件清楚、责任清晰的出险案件，承保公司应当在收到医院索赔申请后及时核定保险责任，最长不超过30个自然日内给付保险金;对于复杂案件，保险机构在案件材料收集齐全之日起60个自然日内给付保险金。</w:t>
            </w:r>
          </w:p>
          <w:p>
            <w:pPr>
              <w:pStyle w:val="null3"/>
              <w:jc w:val="both"/>
            </w:pPr>
            <w:r>
              <w:rPr>
                <w:rFonts w:ascii="仿宋_GB2312" w:hAnsi="仿宋_GB2312" w:cs="仿宋_GB2312" w:eastAsia="仿宋_GB2312"/>
                <w:sz w:val="21"/>
              </w:rPr>
              <w:t>④、医责险每次事故免赔额2000元或赔偿金额的10%，对应由医院支付的仲裁或诉讼费用以及其他必要的、合理的费用，承保公司也应负责赔偿，无正当理由，承保公司应按保险合同条款规定的理赔标准进行理赔。</w:t>
            </w:r>
          </w:p>
          <w:p>
            <w:pPr>
              <w:pStyle w:val="null3"/>
              <w:jc w:val="both"/>
            </w:pPr>
            <w:r>
              <w:rPr>
                <w:rFonts w:ascii="仿宋_GB2312" w:hAnsi="仿宋_GB2312" w:cs="仿宋_GB2312" w:eastAsia="仿宋_GB2312"/>
                <w:sz w:val="21"/>
              </w:rPr>
              <w:t>⑤、医疗责任险赔偿限额不低于:个案赔偿30万元,累计赔偿限额240万元起。</w:t>
            </w:r>
          </w:p>
          <w:p>
            <w:pPr>
              <w:pStyle w:val="null3"/>
              <w:jc w:val="both"/>
            </w:pPr>
            <w:r>
              <w:rPr>
                <w:rFonts w:ascii="仿宋_GB2312" w:hAnsi="仿宋_GB2312" w:cs="仿宋_GB2312" w:eastAsia="仿宋_GB2312"/>
                <w:sz w:val="21"/>
              </w:rPr>
              <w:t>法律费用赔偿限额不低于:个案赔偿限额30万元。</w:t>
            </w:r>
          </w:p>
          <w:p>
            <w:pPr>
              <w:pStyle w:val="null3"/>
              <w:jc w:val="both"/>
            </w:pPr>
            <w:r>
              <w:rPr>
                <w:rFonts w:ascii="仿宋_GB2312" w:hAnsi="仿宋_GB2312" w:cs="仿宋_GB2312" w:eastAsia="仿宋_GB2312"/>
                <w:sz w:val="21"/>
              </w:rPr>
              <w:t>⑥、个案出险后有争议时，双方具有沟通与协调机制。</w:t>
            </w:r>
          </w:p>
          <w:p>
            <w:pPr>
              <w:pStyle w:val="null3"/>
              <w:jc w:val="both"/>
            </w:pPr>
            <w:r>
              <w:rPr>
                <w:rFonts w:ascii="仿宋_GB2312" w:hAnsi="仿宋_GB2312" w:cs="仿宋_GB2312" w:eastAsia="仿宋_GB2312"/>
                <w:sz w:val="21"/>
              </w:rPr>
              <w:t>二、项目功能要求及技术参数</w:t>
            </w:r>
          </w:p>
          <w:p>
            <w:pPr>
              <w:pStyle w:val="null3"/>
              <w:jc w:val="both"/>
            </w:pPr>
            <w:r>
              <w:rPr>
                <w:rFonts w:ascii="仿宋_GB2312" w:hAnsi="仿宋_GB2312" w:cs="仿宋_GB2312" w:eastAsia="仿宋_GB2312"/>
                <w:sz w:val="21"/>
              </w:rPr>
              <w:t xml:space="preserve">1、保险理赔过程中，被保险人在提供相关住院病历情况下，保险公司不得再要求被保险人提供患者住院情况说明。     </w:t>
            </w:r>
          </w:p>
          <w:p>
            <w:pPr>
              <w:pStyle w:val="null3"/>
              <w:jc w:val="both"/>
            </w:pPr>
            <w:r>
              <w:rPr>
                <w:rFonts w:ascii="仿宋_GB2312" w:hAnsi="仿宋_GB2312" w:cs="仿宋_GB2312" w:eastAsia="仿宋_GB2312"/>
                <w:sz w:val="21"/>
              </w:rPr>
              <w:t>2、保险理赔过程中，被保险人提供医疗发票复印件即可。</w:t>
            </w:r>
          </w:p>
          <w:p>
            <w:pPr>
              <w:pStyle w:val="null3"/>
              <w:jc w:val="both"/>
            </w:pPr>
            <w:r>
              <w:rPr>
                <w:rFonts w:ascii="仿宋_GB2312" w:hAnsi="仿宋_GB2312" w:cs="仿宋_GB2312" w:eastAsia="仿宋_GB2312"/>
                <w:sz w:val="21"/>
              </w:rPr>
              <w:t>3、保险理赔过程中，不能强行要求被保险人提供各种关系证明。</w:t>
            </w:r>
          </w:p>
          <w:p>
            <w:pPr>
              <w:pStyle w:val="null3"/>
              <w:jc w:val="both"/>
            </w:pPr>
            <w:r>
              <w:rPr>
                <w:rFonts w:ascii="仿宋_GB2312" w:hAnsi="仿宋_GB2312" w:cs="仿宋_GB2312" w:eastAsia="仿宋_GB2312"/>
                <w:sz w:val="21"/>
              </w:rPr>
              <w:t>4、保险理赔过程中，不能强行要求被保险人提供患者在外院就诊资料。</w:t>
            </w:r>
          </w:p>
          <w:p>
            <w:pPr>
              <w:pStyle w:val="null3"/>
              <w:jc w:val="both"/>
            </w:pPr>
            <w:r>
              <w:rPr>
                <w:rFonts w:ascii="仿宋_GB2312" w:hAnsi="仿宋_GB2312" w:cs="仿宋_GB2312" w:eastAsia="仿宋_GB2312"/>
                <w:sz w:val="21"/>
              </w:rPr>
              <w:t>5、保险公司应明确理赔金额计算方法。</w:t>
            </w:r>
          </w:p>
          <w:p>
            <w:pPr>
              <w:pStyle w:val="null3"/>
              <w:jc w:val="both"/>
            </w:pPr>
            <w:r>
              <w:rPr>
                <w:rFonts w:ascii="仿宋_GB2312" w:hAnsi="仿宋_GB2312" w:cs="仿宋_GB2312" w:eastAsia="仿宋_GB2312"/>
                <w:sz w:val="21"/>
              </w:rPr>
              <w:t>6、保险公司应明确理赔款项到账时效性。</w:t>
            </w:r>
          </w:p>
          <w:p>
            <w:pPr>
              <w:pStyle w:val="null3"/>
              <w:jc w:val="both"/>
            </w:pPr>
            <w:r>
              <w:rPr>
                <w:rFonts w:ascii="仿宋_GB2312" w:hAnsi="仿宋_GB2312" w:cs="仿宋_GB2312" w:eastAsia="仿宋_GB2312"/>
                <w:sz w:val="21"/>
              </w:rPr>
              <w:t>7、诉讼纠纷或经司法确认纠纷中的患方起诉状即视为患者索赔申请。</w:t>
            </w:r>
          </w:p>
          <w:p>
            <w:pPr>
              <w:pStyle w:val="null3"/>
            </w:pPr>
            <w:r>
              <w:rPr>
                <w:rFonts w:ascii="仿宋_GB2312" w:hAnsi="仿宋_GB2312" w:cs="仿宋_GB2312" w:eastAsia="仿宋_GB2312"/>
                <w:sz w:val="21"/>
              </w:rPr>
              <w:t>8、被保险人常年聘请法律顾问，无需征得保险公司同意。</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满足国家、行业及医院标准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自合同签订之日起365日历日。（合同一年一签，可续签二年。合同满一年后，经采购人主管科室考评合格，可续签合同一年，供应商上一年的服务不能满足采购人要求，采购人可拒绝同供应商续签）。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渭南市中心医院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(1)验收方式 成交人完成所有服务内容及成果交付后30日内由采购人组织评审验收，或委托代理机构进行验收，出具验收结果单。验收过程产生的费用由成交人承担。 （2）验收标准： 符合国家法律法规规定的标准、合同文本、竞争性磋商文件和竞争性磋商响应文件的要求。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签订合同后，收到供应商出具的正式发票、加盖供应商公章的付款申请书后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3.3.6.1违约责任 详见合同 3.3.6.2解决争议的方法 双方本着友好合作的态度,对合同履行过程中发生的纠纷应及时协商解决,协商不成，向采购人所在地人民法院诉讼解决。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3.4.1磋商总报价组成： 磋商报价为完成本项目磋商文件中所提出的工作范围及要求的全部内容，并达到国家及采购人验收标准而产生的所有费用，包括保险费、管理费、人员工资（含社保、补助和奖金）、交通费、招标代理服务费、保险、利润、税金、风险及完成工作准备阶段、实施阶段、验收阶段等所需的全部费用，任何错报、漏报由供应商自行负责。 3.4.2采购标的对应的所属行业：其他未列明行业。从业人员300人以下的为中小微型企业。其中，从业人员100人及以上的为中型企业；从业人员10人及以上的为小型企业；从业人员10人以下的为微型企业。 3.4.3纸质文件要求 成交供应商在领取成交通知书时须向代理机构提供纸质版磋商响应文件正本壹份，副本叁份，电子版（U盘）贰份。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负责人）授权委托书（附法定代表人（负责人）身份证复印件）及被授权委托人身份证（法定代表人（负责人）参加磋商只需提供法定代表人（负责人）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供应商提供依法缴纳税收和社会保障资金的相关材料，依法免税的供应商应具有税务部门出具的证明文件；依法不需要缴纳社会保障资金的供应商，需具有社保部门出具的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供应商具有良好的商业信誉和健全的财务会计制度</w:t>
            </w:r>
          </w:p>
        </w:tc>
        <w:tc>
          <w:tcPr>
            <w:tcW w:type="dxa" w:w="3322"/>
          </w:tcPr>
          <w:p>
            <w:pPr>
              <w:pStyle w:val="null3"/>
            </w:pPr>
            <w:r>
              <w:rPr>
                <w:rFonts w:ascii="仿宋_GB2312" w:hAnsi="仿宋_GB2312" w:cs="仿宋_GB2312" w:eastAsia="仿宋_GB2312"/>
              </w:rPr>
              <w:t>供应商提供2024年度或2025年度财务审计报告或磋商前3个月内供应商基本账户银行出具的资信证明；供应商需在项目电子化交易系统中按要求上传相应证明文件并进行电子签章。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供应商具有履行合同所必需的设备和专业技术能力</w:t>
            </w:r>
          </w:p>
        </w:tc>
        <w:tc>
          <w:tcPr>
            <w:tcW w:type="dxa" w:w="3322"/>
          </w:tcPr>
          <w:p>
            <w:pPr>
              <w:pStyle w:val="null3"/>
            </w:pPr>
            <w:r>
              <w:rPr>
                <w:rFonts w:ascii="仿宋_GB2312" w:hAnsi="仿宋_GB2312" w:cs="仿宋_GB2312" w:eastAsia="仿宋_GB2312"/>
              </w:rPr>
              <w:t>供应商具有履行合同所必需的设备和专业技术能力的声明；供应商需在项目电子化交易系统中按要求上传相应证明文件并进行电子签章。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有经营责任保险业务资格，提供有效期内的保险监督管理机构颁发的《经营保险业务许可证》或《保险许可证》，（总公司取得的相关资质和指标，分支机构经总公司有效授权视为拥有同等资质和指标，总公司只允许授权1家分支机构参与磋商，且不能与分支机构同时参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提供磋商保证金交纳凭证；供应商需在项目电子化交易系统中按要求上传相应证明文件并进行电子签章。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非联合体磋商声明；供应商需在项目电子化交易系统中按要求上传相应证明文件并进行电子签章。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（一）出现下列情形之一的，磋商小组应当启动异常低价投标（响应）审查程序： 1.磋商报价低于全部通过符合性审查供应商磋商报价平均值50%的，即磋商报价&lt;全部通过符合性审查供应商磋商报价平均值×50%； 2.磋商报价低于通过符合性审查的次低报价供应商磋商报价50%的，即磋商报价&lt;通过符合性审查的次低报价供应商投标（响应）报价×50%； 3.磋商报价低于采购项目最高限价45%的，即磋商报价&lt;采购项目最高限价×45%； 4.磋商小组基于专业判断，认为供应商报价过低，有可能影响产品质量或者不能诚信履约的其他情形。 （二）磋商小组启动异常低价投标审查后，属于前述第1项至第4项情形的，相关供应商在30分钟内对投标价格作出解释，提供项目具体成本测算等与报价合理性相关的书面说明及必要的证明材料，包括但不限于原材料成本、人工成本、制造费用等。 磋商小组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磋商小组应当将其作为无效磋商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磋商响应文件签署</w:t>
            </w:r>
          </w:p>
        </w:tc>
        <w:tc>
          <w:tcPr>
            <w:tcW w:type="dxa" w:w="3322"/>
          </w:tcPr>
          <w:p>
            <w:pPr>
              <w:pStyle w:val="null3"/>
            </w:pPr>
            <w:r>
              <w:rPr>
                <w:rFonts w:ascii="仿宋_GB2312" w:hAnsi="仿宋_GB2312" w:cs="仿宋_GB2312" w:eastAsia="仿宋_GB2312"/>
              </w:rPr>
              <w:t>响应文件按照规定格式签字、盖章;</w:t>
            </w:r>
          </w:p>
        </w:tc>
        <w:tc>
          <w:tcPr>
            <w:tcW w:type="dxa" w:w="1661"/>
          </w:tcPr>
          <w:p>
            <w:pPr>
              <w:pStyle w:val="null3"/>
            </w:pPr>
            <w:r>
              <w:rPr>
                <w:rFonts w:ascii="仿宋_GB2312" w:hAnsi="仿宋_GB2312" w:cs="仿宋_GB2312" w:eastAsia="仿宋_GB2312"/>
              </w:rPr>
              <w:t>报价一览表.docx 服务内容及服务邀请应答表 中小企业声明函 商务应答表 承诺书.docx 报价表 资格证明文件.docx 响应文件封面 业绩证明文件及响应方案说明.docx 残疾人福利性单位声明函 标的清单 响应函 监狱企业的证明文件 磋商保证金退还信息表.docx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磋商响应有效期达到磋商文件的要求；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供应商针对同一服务未递交两份或多份内容不同的响应文件，未出现选择性报价；</w:t>
            </w:r>
          </w:p>
        </w:tc>
        <w:tc>
          <w:tcPr>
            <w:tcW w:type="dxa" w:w="1661"/>
          </w:tcPr>
          <w:p>
            <w:pPr>
              <w:pStyle w:val="null3"/>
            </w:pPr>
            <w:r>
              <w:rPr>
                <w:rFonts w:ascii="仿宋_GB2312" w:hAnsi="仿宋_GB2312" w:cs="仿宋_GB2312" w:eastAsia="仿宋_GB2312"/>
              </w:rPr>
              <w:t>报价一览表.docx 中小企业声明函 残疾人福利性单位声明函 商务应答表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符合商务、技术要求</w:t>
            </w:r>
          </w:p>
        </w:tc>
        <w:tc>
          <w:tcPr>
            <w:tcW w:type="dxa" w:w="3322"/>
          </w:tcPr>
          <w:p>
            <w:pPr>
              <w:pStyle w:val="null3"/>
            </w:pPr>
            <w:r>
              <w:rPr>
                <w:rFonts w:ascii="仿宋_GB2312" w:hAnsi="仿宋_GB2312" w:cs="仿宋_GB2312" w:eastAsia="仿宋_GB2312"/>
              </w:rPr>
              <w:t>符合商务、技术要求，不存在重大负偏离；</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响应文件未附有采购人不能接受的条件</w:t>
            </w:r>
          </w:p>
        </w:tc>
        <w:tc>
          <w:tcPr>
            <w:tcW w:type="dxa" w:w="3322"/>
          </w:tcPr>
          <w:p>
            <w:pPr>
              <w:pStyle w:val="null3"/>
            </w:pPr>
            <w:r>
              <w:rPr>
                <w:rFonts w:ascii="仿宋_GB2312" w:hAnsi="仿宋_GB2312" w:cs="仿宋_GB2312" w:eastAsia="仿宋_GB2312"/>
              </w:rPr>
              <w:t>响应文件未附有采购人不能接受的条件；</w:t>
            </w:r>
          </w:p>
        </w:tc>
        <w:tc>
          <w:tcPr>
            <w:tcW w:type="dxa" w:w="1661"/>
          </w:tcPr>
          <w:p>
            <w:pPr>
              <w:pStyle w:val="null3"/>
            </w:pPr>
            <w:r>
              <w:rPr>
                <w:rFonts w:ascii="仿宋_GB2312" w:hAnsi="仿宋_GB2312" w:cs="仿宋_GB2312" w:eastAsia="仿宋_GB2312"/>
              </w:rPr>
              <w:t>报价一览表.docx 服务内容及服务邀请应答表 中小企业声明函 商务应答表 承诺书.docx 报价表 资格证明文件.docx 响应文件封面 业绩证明文件及响应方案说明.docx 残疾人福利性单位声明函 标的清单 响应函 监狱企业的证明文件 磋商保证金退还信息表.docx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符合磋商文件规定的其他实质性要求</w:t>
            </w:r>
          </w:p>
        </w:tc>
        <w:tc>
          <w:tcPr>
            <w:tcW w:type="dxa" w:w="3322"/>
          </w:tcPr>
          <w:p>
            <w:pPr>
              <w:pStyle w:val="null3"/>
            </w:pPr>
            <w:r>
              <w:rPr>
                <w:rFonts w:ascii="仿宋_GB2312" w:hAnsi="仿宋_GB2312" w:cs="仿宋_GB2312" w:eastAsia="仿宋_GB2312"/>
              </w:rPr>
              <w:t>符合磋商文件规定的其他实质性要求；</w:t>
            </w:r>
          </w:p>
        </w:tc>
        <w:tc>
          <w:tcPr>
            <w:tcW w:type="dxa" w:w="1661"/>
          </w:tcPr>
          <w:p>
            <w:pPr>
              <w:pStyle w:val="null3"/>
            </w:pPr>
            <w:r>
              <w:rPr>
                <w:rFonts w:ascii="仿宋_GB2312" w:hAnsi="仿宋_GB2312" w:cs="仿宋_GB2312" w:eastAsia="仿宋_GB2312"/>
              </w:rPr>
              <w:t>报价一览表.docx 服务内容及服务邀请应答表 中小企业声明函 商务应答表 承诺书.docx 报价表 资格证明文件.docx 响应文件封面 业绩证明文件及响应方案说明.docx 残疾人福利性单位声明函 标的清单 响应函 监狱企业的证明文件 磋商保证金退还信息表.docx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符合《中华人民共和国政府采购法》有关规定和磋商纪律</w:t>
            </w:r>
          </w:p>
        </w:tc>
        <w:tc>
          <w:tcPr>
            <w:tcW w:type="dxa" w:w="3322"/>
          </w:tcPr>
          <w:p>
            <w:pPr>
              <w:pStyle w:val="null3"/>
            </w:pPr>
            <w:r>
              <w:rPr>
                <w:rFonts w:ascii="仿宋_GB2312" w:hAnsi="仿宋_GB2312" w:cs="仿宋_GB2312" w:eastAsia="仿宋_GB2312"/>
              </w:rPr>
              <w:t>符合《中华人民共和国政府采购法》有关规定和磋商纪律。</w:t>
            </w:r>
          </w:p>
        </w:tc>
        <w:tc>
          <w:tcPr>
            <w:tcW w:type="dxa" w:w="1661"/>
          </w:tcPr>
          <w:p>
            <w:pPr>
              <w:pStyle w:val="null3"/>
            </w:pPr>
            <w:r>
              <w:rPr>
                <w:rFonts w:ascii="仿宋_GB2312" w:hAnsi="仿宋_GB2312" w:cs="仿宋_GB2312" w:eastAsia="仿宋_GB2312"/>
              </w:rPr>
              <w:t>报价一览表.docx 服务内容及服务邀请应答表 中小企业声明函 商务应答表 承诺书.docx 报价表 资格证明文件.docx 响应文件封面 业绩证明文件及响应方案说明.docx 残疾人福利性单位声明函 标的清单 响应函 监狱企业的证明文件 磋商保证金退还信息表.docx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责任险服务方案</w:t>
            </w:r>
          </w:p>
        </w:tc>
        <w:tc>
          <w:tcPr>
            <w:tcW w:type="dxa" w:w="2492"/>
          </w:tcPr>
          <w:p>
            <w:pPr>
              <w:pStyle w:val="null3"/>
            </w:pPr>
            <w:r>
              <w:rPr>
                <w:rFonts w:ascii="仿宋_GB2312" w:hAnsi="仿宋_GB2312" w:cs="仿宋_GB2312" w:eastAsia="仿宋_GB2312"/>
              </w:rPr>
              <w:t>一、评审内容： 根据供应商提供本项目责任险服务方案进行评审，方案内容包含①保险责任方案②赔付保障方案③报案时效。 二、评审标准 1.完整性：方案须全面，对评审内容中的各项要求有详细描述； 2.可实施性：切合本项目实际情况，实施步骤清晰、合理； 3.针对性：方案能够紧扣项目实际情况，内容科学合理。 三、赋分标准 ①保险责任方案：每完全满足一项评审标准计1分，满分3分。 ②赔付保障方案：每完全满足一项评审标准计1分，满分3分。 ③报案时效：每完全满足一项评审标准计1分，满分3分。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理赔方案</w:t>
            </w:r>
          </w:p>
        </w:tc>
        <w:tc>
          <w:tcPr>
            <w:tcW w:type="dxa" w:w="2492"/>
          </w:tcPr>
          <w:p>
            <w:pPr>
              <w:pStyle w:val="null3"/>
            </w:pPr>
            <w:r>
              <w:rPr>
                <w:rFonts w:ascii="仿宋_GB2312" w:hAnsi="仿宋_GB2312" w:cs="仿宋_GB2312" w:eastAsia="仿宋_GB2312"/>
              </w:rPr>
              <w:t>一、评审内容： 具有完整的项目理赔服务方案，包括①项目理赔程序及服务流程②开展赔付工作的资料③理赔范围及理赔响应时间。 二、评审标准 1.完整性：方案须全面，对评审内容中的各项要求有详细描述； 2.可实施性：切合本项目实际情况，实施步骤清晰、合理； 3.针对性：方案能够紧扣项目实际情况，内容科学合理。 三、赋分标准 ①项目理赔程序及服务流程：每完全满足一项评审标准计1分，满分3分。 ②开展赔付工作的资料：每完全满足一项评审标准计1分，满分3分。 ③理赔范围及理赔响应时间：每完全满足一项评审标准计1分，满分3分。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偿付能力</w:t>
            </w:r>
          </w:p>
        </w:tc>
        <w:tc>
          <w:tcPr>
            <w:tcW w:type="dxa" w:w="2492"/>
          </w:tcPr>
          <w:p>
            <w:pPr>
              <w:pStyle w:val="null3"/>
            </w:pPr>
            <w:r>
              <w:rPr>
                <w:rFonts w:ascii="仿宋_GB2312" w:hAnsi="仿宋_GB2312" w:cs="仿宋_GB2312" w:eastAsia="仿宋_GB2312"/>
              </w:rPr>
              <w:t>一、评审内容 针对本项目供应商提供的综合偿付能力情况 （提供承诺函并加盖公章） 二、赋分标准 ①240万元≤综合偿付能力＜260万元,得1分； ②260万元≤综合偿付能力＜280万元,得2分； ③280万元≤综合偿付能力＜300万元,得4分； ④300万元≤综合偿付能力＜330万元,得6分； ⑤330万元≤综合偿付能力＜360万元,得9分； ⑥综合偿付能力≥360万元,得12分。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根据拟投入本项目组织机构设置进行评审，包含①投入人员数量、人员职责及岗位分工安排②人员理赔经验（包括但不限于理赔经验证明材料、身份证、学历证） 二、评审标准 1.完整性：方案须全面，对评审内容中的各项要求有详细描述； 2.可实施性：切合本项目实际情况，实施步骤清晰、合理； 3.针对性：方案能够紧扣项目实际情况，内容科学合理。 三、赋分标准 ①投入人员数量、人员职责及岗位分工安排：每完全满足一项评审标准计1分，满分3分。 ②人员理赔经验（包括但不限于理赔经验证明材料、身份证、学历证） ：每完全满足一项评审标准计1分，满分3分。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根据供应商提供的应急方案进行评审，包括但不限于①突发事件的处理机制和应急预案②预防和补救措施③对被保险人理赔材料的处理方案。 二、评审标准 1.完整性：方案须全面，对评审内容中的各项要求有详细描述； 2.可实施性：切合本项目实际情况，实施步骤清晰、合理； 3.针对性：方案能够紧扣项目实际情况，内容科学合理。 三、赋分标准 ①突发事件的处理机制和应急预案：每完全满足一项评审标准计1分，满分3分。 ②预防和补救措施：每完全满足一项评审标准计1分，满分3分。 ③对被保险人理赔材料的处理方案：每完全满足一项评审标准计1分，满分3分。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内控制度</w:t>
            </w:r>
          </w:p>
        </w:tc>
        <w:tc>
          <w:tcPr>
            <w:tcW w:type="dxa" w:w="2492"/>
          </w:tcPr>
          <w:p>
            <w:pPr>
              <w:pStyle w:val="null3"/>
            </w:pPr>
            <w:r>
              <w:rPr>
                <w:rFonts w:ascii="仿宋_GB2312" w:hAnsi="仿宋_GB2312" w:cs="仿宋_GB2312" w:eastAsia="仿宋_GB2312"/>
              </w:rPr>
              <w:t>一、评审内容 根据供应商提供的内控制度进行评审，内容包含①风险控制及档案管理②内部考核奖惩制度。 二、评审标准 1.完整性：方案须全面，对评审内容中的各项要求有详细描述； 2.可实施性：切合本项目实际情况，实施步骤清晰、合理； 3.针对性：方案能够紧扣项目实际情况，内容科学合理。 三、赋分标准 ①风险控制及档案管理：每完全满足一项评审标准计1分，满分3分。 ②内部考核奖惩制度：每完全满足一项评审标准计1分，满分3分。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根据供应商提供售后服务方案进行评审，包括但不限于①售后服务保障措施及保密措施②人员稳定性承诺。 二、评审标准 1.完整性：方案须全面，对评审内容中的各项要求有详细描述； 2.可实施性：切合本项目实际情况，实施步骤清晰、合理； 3.针对性：方案能够紧扣项目实际情况，内容科学合理。 三、赋分标准 ①售后服务保障措施及保密措施：每完全满足一项评审标准计1分，满分3分。 ②人员稳定性承诺：每完全满足一项评审标准计1分，满分3分。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增值服务和合理化建议</w:t>
            </w:r>
          </w:p>
        </w:tc>
        <w:tc>
          <w:tcPr>
            <w:tcW w:type="dxa" w:w="2492"/>
          </w:tcPr>
          <w:p>
            <w:pPr>
              <w:pStyle w:val="null3"/>
            </w:pPr>
            <w:r>
              <w:rPr>
                <w:rFonts w:ascii="仿宋_GB2312" w:hAnsi="仿宋_GB2312" w:cs="仿宋_GB2312" w:eastAsia="仿宋_GB2312"/>
              </w:rPr>
              <w:t>供应商结合本项目特点及自身情况，提出适合本项目的增值服务和合理化建议，每一个建议得2.5分，最高得5分。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提供2023年以来类似项目业绩合同（以合同签订时间为准），每份业绩计2分，满分8分。 注：以上证明文件在响应文件中附业绩合同扫描件并加盖公司公章。（供应商总部及下属单位业绩均有效）</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得分采用低价优先法计算，即满足磋商文件要求且最后报价最低的供应商的价格为磋商基准价，其价格分为满分。其他供应商的价格分统一按照下列公式计算：磋商报价得分=（磋商基准价/最后磋商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15.00%</w:t>
            </w:r>
          </w:p>
        </w:tc>
        <w:tc>
          <w:tcPr>
            <w:tcW w:type="dxa" w:w="1661"/>
          </w:tcPr>
          <w:p>
            <w:pPr>
              <w:pStyle w:val="null3"/>
            </w:pPr>
            <w:r>
              <w:rPr>
                <w:rFonts w:ascii="仿宋_GB2312" w:hAnsi="仿宋_GB2312" w:cs="仿宋_GB2312" w:eastAsia="仿宋_GB2312"/>
              </w:rPr>
              <w:t>1.对于经主管预算单位统筹后未预留份额专门面向中小企业采购的采购项目，以及预留份额项目中的非预留部分采购包，对符合《政府采购促进中小企业发展管理办法》（财库〔2020〕46号）、《关于进一步加大政府采购支持中小企业力度的通知》（财库〔2022〕19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CI为15%。 2.本项目所属行业：其他未列明行业。从业人员300人以下的为中小微型企业。其中，从业人员100人及以上的为中型企业；从业人员10人及以上的为小型企业；从业人员10人以下的为微型企业。</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详见附件：业绩证明文件及响应方案说明.docx</w:t>
      </w:r>
    </w:p>
    <w:p>
      <w:pPr>
        <w:pStyle w:val="null3"/>
        <w:ind w:firstLine="960"/>
      </w:pPr>
      <w:r>
        <w:rPr>
          <w:rFonts w:ascii="仿宋_GB2312" w:hAnsi="仿宋_GB2312" w:cs="仿宋_GB2312" w:eastAsia="仿宋_GB2312"/>
        </w:rPr>
        <w:t>详见附件：磋商保证金退还信息表.docx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