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版本号：JJX-2026-01620260409002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数智化库房建设项目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JJX-2026-016</w:t>
      </w:r>
      <w:r>
        <w:br/>
      </w:r>
      <w:r>
        <w:br/>
      </w:r>
      <w:r>
        <w:br/>
      </w:r>
    </w:p>
    <w:p>
      <w:pPr>
        <w:pStyle w:val="null3"/>
        <w:jc w:val="center"/>
        <w:outlineLvl w:val="2"/>
      </w:pPr>
      <w:r>
        <w:rPr>
          <w:rFonts w:ascii="仿宋_GB2312" w:hAnsi="仿宋_GB2312" w:cs="仿宋_GB2312" w:eastAsia="仿宋_GB2312"/>
          <w:sz w:val="28"/>
          <w:b/>
        </w:rPr>
        <w:t>渭南市防汛抗旱物料储备中心</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渭南市防汛抗旱物料储备中心</w:t>
      </w:r>
      <w:r>
        <w:rPr>
          <w:rFonts w:ascii="仿宋_GB2312" w:hAnsi="仿宋_GB2312" w:cs="仿宋_GB2312" w:eastAsia="仿宋_GB2312"/>
        </w:rPr>
        <w:t>委托，拟对</w:t>
      </w:r>
      <w:r>
        <w:rPr>
          <w:rFonts w:ascii="仿宋_GB2312" w:hAnsi="仿宋_GB2312" w:cs="仿宋_GB2312" w:eastAsia="仿宋_GB2312"/>
        </w:rPr>
        <w:t>数智化库房建设项目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数智化库房建设项目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数智化库房建设项目一批。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渭南市防汛抗旱物料储备中心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渭南市高新北区阳曲街道黑杨村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0913-2183621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货物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渭南市防汛抗旱物料储备中心</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渭南市防汛抗旱物料储备中心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渭南市防汛抗旱物料储备中心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项目实施完毕后，投标人应向采购人提交项目验收申请，并将项目实施过程中相关资料提交采购人。采购人收到项目验收申请后，组织相关人员进行验收。 验收标准按照国家、行业有关规范和要求执行。投标人承诺完全达到国家有关部门验收标准，并全部通过验收为交付使用的基本条件。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地址：渭南市临渭区三贤路与玉德路十字西北角豪庭佳苑大门东临商铺4层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数智化库房建设项目，详见招标文件。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渭南市防汛抗旱物料储备中心数智化库房建设项目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标的名称：渭南市防汛抗旱物料储备中心数智化库房建设项目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0"/>
              <w:gridCol w:w="360"/>
              <w:gridCol w:w="1665"/>
              <w:gridCol w:w="176"/>
              <w:gridCol w:w="222"/>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RFID应急管理系统（核心产品）</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1.开发部署服务要求：定制适配主流技术栈的分布式 B/S架构管理统，开发 RFID 设备接入中间件，实现多设备并发管控与网络断连、断电后的自动恢复，同时提供全流程部署服务，可兼容主流服务器操作系统，保障系统部署后即可稳定运行；</w:t>
                  </w:r>
                </w:p>
                <w:p>
                  <w:pPr>
                    <w:pStyle w:val="null3"/>
                    <w:jc w:val="both"/>
                  </w:pPr>
                  <w:r>
                    <w:rPr>
                      <w:rFonts w:ascii="仿宋_GB2312" w:hAnsi="仿宋_GB2312" w:cs="仿宋_GB2312" w:eastAsia="仿宋_GB2312"/>
                      <w:sz w:val="21"/>
                      <w:color w:val="000000"/>
                    </w:rPr>
                    <w:t>2.▲全场景业务能力要求：覆盖物资全生命周期管理，支持多终端完成入库、出库、上架、移库、盘点等流转作业，实现标签高可靠绑定、出库智能核验预警；配套库存预警、定制化维保、报废管控、跨仓应急调拨等全周期管理能力，同时搭配精细化权限管控、多维度统计报表、仓库三维可视化看板、移动离线作业、第三方系统开放对接接口，适配各类物资管理场景；</w:t>
                  </w:r>
                </w:p>
                <w:p>
                  <w:pPr>
                    <w:pStyle w:val="null3"/>
                    <w:jc w:val="both"/>
                  </w:pPr>
                  <w:r>
                    <w:rPr>
                      <w:rFonts w:ascii="仿宋_GB2312" w:hAnsi="仿宋_GB2312" w:cs="仿宋_GB2312" w:eastAsia="仿宋_GB2312"/>
                      <w:sz w:val="21"/>
                      <w:color w:val="000000"/>
                    </w:rPr>
                    <w:t>3.指标要求：支持≥100 个用户并发操作，简单检索响应 ≤5 秒、复杂条件检索响应 ≤8 秒；系统年故障时长≤ 12 小时，故障可在 2 小时内完成修复；支持每日增量 + 每周全量的数据备份，兼容主流浏览器，支持后续功能模块化拓展；</w:t>
                  </w:r>
                </w:p>
                <w:p>
                  <w:pPr>
                    <w:pStyle w:val="null3"/>
                    <w:jc w:val="both"/>
                  </w:pPr>
                  <w:r>
                    <w:rPr>
                      <w:rFonts w:ascii="仿宋_GB2312" w:hAnsi="仿宋_GB2312" w:cs="仿宋_GB2312" w:eastAsia="仿宋_GB2312"/>
                      <w:sz w:val="21"/>
                      <w:color w:val="000000"/>
                    </w:rPr>
                    <w:t>4.安全运维要求：搭配敏感数据加密、备份的安全方案，同时提供 7×24 小时的运维服务，包含系统运行监控、故障排查、定期性能优化与安全补丁更新。</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RFID工业标签打印机</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1.打印方式：热转印；</w:t>
                  </w:r>
                </w:p>
                <w:p>
                  <w:pPr>
                    <w:pStyle w:val="null3"/>
                    <w:jc w:val="both"/>
                  </w:pPr>
                  <w:r>
                    <w:rPr>
                      <w:rFonts w:ascii="仿宋_GB2312" w:hAnsi="仿宋_GB2312" w:cs="仿宋_GB2312" w:eastAsia="仿宋_GB2312"/>
                      <w:sz w:val="21"/>
                      <w:color w:val="000000"/>
                    </w:rPr>
                    <w:t>2.▲分辨率≥300dpi(8点/毫米)；</w:t>
                  </w:r>
                </w:p>
                <w:p>
                  <w:pPr>
                    <w:pStyle w:val="null3"/>
                    <w:jc w:val="both"/>
                  </w:pPr>
                  <w:r>
                    <w:rPr>
                      <w:rFonts w:ascii="仿宋_GB2312" w:hAnsi="仿宋_GB2312" w:cs="仿宋_GB2312" w:eastAsia="仿宋_GB2312"/>
                      <w:sz w:val="21"/>
                      <w:color w:val="000000"/>
                    </w:rPr>
                    <w:t>3.打印速度≥8ips(153mm/s)；</w:t>
                  </w:r>
                </w:p>
                <w:p>
                  <w:pPr>
                    <w:pStyle w:val="null3"/>
                    <w:jc w:val="both"/>
                  </w:pPr>
                  <w:r>
                    <w:rPr>
                      <w:rFonts w:ascii="仿宋_GB2312" w:hAnsi="仿宋_GB2312" w:cs="仿宋_GB2312" w:eastAsia="仿宋_GB2312"/>
                      <w:sz w:val="21"/>
                      <w:color w:val="000000"/>
                    </w:rPr>
                    <w:t>4.打印宽度≥4.17″（106mm）；</w:t>
                  </w:r>
                </w:p>
                <w:p>
                  <w:pPr>
                    <w:pStyle w:val="null3"/>
                    <w:jc w:val="both"/>
                  </w:pPr>
                  <w:r>
                    <w:rPr>
                      <w:rFonts w:ascii="仿宋_GB2312" w:hAnsi="仿宋_GB2312" w:cs="仿宋_GB2312" w:eastAsia="仿宋_GB2312"/>
                      <w:sz w:val="21"/>
                      <w:color w:val="000000"/>
                    </w:rPr>
                    <w:t>5.打印长度≥79″(2000mm)；</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≥8MB FLASH ROM，16MB SDRAM；</w:t>
                  </w:r>
                </w:p>
                <w:p>
                  <w:pPr>
                    <w:pStyle w:val="null3"/>
                    <w:jc w:val="both"/>
                  </w:pPr>
                  <w:r>
                    <w:rPr>
                      <w:rFonts w:ascii="仿宋_GB2312" w:hAnsi="仿宋_GB2312" w:cs="仿宋_GB2312" w:eastAsia="仿宋_GB2312"/>
                      <w:sz w:val="21"/>
                      <w:color w:val="000000"/>
                    </w:rPr>
                    <w:t>7.标签卷尺寸：可适配主流常规规格的 RFID 标签卷，满足不同场景下的标签使用与打印需求；</w:t>
                  </w:r>
                </w:p>
                <w:p>
                  <w:pPr>
                    <w:pStyle w:val="null3"/>
                    <w:jc w:val="both"/>
                  </w:pPr>
                  <w:r>
                    <w:rPr>
                      <w:rFonts w:ascii="仿宋_GB2312" w:hAnsi="仿宋_GB2312" w:cs="仿宋_GB2312" w:eastAsia="仿宋_GB2312"/>
                      <w:sz w:val="21"/>
                      <w:color w:val="000000"/>
                    </w:rPr>
                    <w:t>8.标签厚度：0.08-1.2mm（含底纸厚度）；</w:t>
                  </w:r>
                </w:p>
                <w:p>
                  <w:pPr>
                    <w:pStyle w:val="null3"/>
                    <w:jc w:val="both"/>
                  </w:pPr>
                  <w:r>
                    <w:rPr>
                      <w:rFonts w:ascii="仿宋_GB2312" w:hAnsi="仿宋_GB2312" w:cs="仿宋_GB2312" w:eastAsia="仿宋_GB2312"/>
                      <w:sz w:val="21"/>
                      <w:color w:val="000000"/>
                    </w:rPr>
                    <w:t>9.碳带尺寸：可适配主流常规规格的打印碳带，满足标签打印的使用需求；</w:t>
                  </w:r>
                </w:p>
                <w:p>
                  <w:pPr>
                    <w:pStyle w:val="null3"/>
                    <w:jc w:val="both"/>
                  </w:pPr>
                  <w:r>
                    <w:rPr>
                      <w:rFonts w:ascii="仿宋_GB2312" w:hAnsi="仿宋_GB2312" w:cs="仿宋_GB2312" w:eastAsia="仿宋_GB2312"/>
                      <w:sz w:val="21"/>
                      <w:color w:val="000000"/>
                    </w:rPr>
                    <w:t>10.RFID功能：集成UHF读写器/编码器（兼容EPC Class 1 Gen2/ISO 18000-6C标准），标签编码成功率≥99.9%；</w:t>
                  </w:r>
                </w:p>
                <w:p>
                  <w:pPr>
                    <w:pStyle w:val="null3"/>
                    <w:jc w:val="both"/>
                  </w:pPr>
                  <w:r>
                    <w:rPr>
                      <w:rFonts w:ascii="仿宋_GB2312" w:hAnsi="仿宋_GB2312" w:cs="仿宋_GB2312" w:eastAsia="仿宋_GB2312"/>
                      <w:sz w:val="21"/>
                      <w:color w:val="000000"/>
                    </w:rPr>
                    <w:t>11.纸张探测方式：下反射式(可移动)/上反射式(可移动)/穿透式(可移动)；</w:t>
                  </w:r>
                </w:p>
                <w:p>
                  <w:pPr>
                    <w:pStyle w:val="null3"/>
                    <w:jc w:val="both"/>
                  </w:pPr>
                  <w:r>
                    <w:rPr>
                      <w:rFonts w:ascii="仿宋_GB2312" w:hAnsi="仿宋_GB2312" w:cs="仿宋_GB2312" w:eastAsia="仿宋_GB2312"/>
                      <w:sz w:val="21"/>
                      <w:color w:val="000000"/>
                    </w:rPr>
                    <w:t>12.接口类型：标配USB 2.0、以太网接口，支持脱机打印。</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RFID手持机</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color w:val="000000"/>
                    </w:rPr>
                    <w:t>显示屏：</w:t>
                  </w:r>
                  <w:r>
                    <w:rPr>
                      <w:rFonts w:ascii="仿宋_GB2312" w:hAnsi="仿宋_GB2312" w:cs="仿宋_GB2312" w:eastAsia="仿宋_GB2312"/>
                      <w:sz w:val="21"/>
                      <w:color w:val="000000"/>
                    </w:rPr>
                    <w:t>≥5.5寸IPS高清屏，分辨率≥720*1440；</w:t>
                  </w:r>
                </w:p>
                <w:p>
                  <w:pPr>
                    <w:pStyle w:val="null3"/>
                    <w:jc w:val="both"/>
                  </w:pPr>
                  <w:r>
                    <w:rPr>
                      <w:rFonts w:ascii="仿宋_GB2312" w:hAnsi="仿宋_GB2312" w:cs="仿宋_GB2312" w:eastAsia="仿宋_GB2312"/>
                      <w:sz w:val="21"/>
                      <w:color w:val="000000"/>
                    </w:rPr>
                    <w:t>2.触控屏：工业级多点触控电容屏；</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扩展插槽：</w:t>
                  </w:r>
                  <w:r>
                    <w:rPr>
                      <w:rFonts w:ascii="仿宋_GB2312" w:hAnsi="仿宋_GB2312" w:cs="仿宋_GB2312" w:eastAsia="仿宋_GB2312"/>
                      <w:sz w:val="21"/>
                      <w:color w:val="000000"/>
                    </w:rPr>
                    <w:t>≥2个SIM卡槽、2个PSAM卡槽、1个TF卡槽；</w:t>
                  </w:r>
                </w:p>
                <w:p>
                  <w:pPr>
                    <w:pStyle w:val="null3"/>
                    <w:jc w:val="both"/>
                  </w:pPr>
                  <w:r>
                    <w:rPr>
                      <w:rFonts w:ascii="仿宋_GB2312" w:hAnsi="仿宋_GB2312" w:cs="仿宋_GB2312" w:eastAsia="仿宋_GB2312"/>
                      <w:sz w:val="21"/>
                      <w:color w:val="000000"/>
                    </w:rPr>
                    <w:t>4.通讯接口：Type-C 数据接口；</w:t>
                  </w:r>
                </w:p>
                <w:p>
                  <w:pPr>
                    <w:pStyle w:val="null3"/>
                    <w:jc w:val="both"/>
                  </w:pPr>
                  <w:r>
                    <w:rPr>
                      <w:rFonts w:ascii="仿宋_GB2312" w:hAnsi="仿宋_GB2312" w:cs="仿宋_GB2312" w:eastAsia="仿宋_GB2312"/>
                      <w:sz w:val="21"/>
                      <w:color w:val="000000"/>
                    </w:rPr>
                    <w:t>5.指示灯：充电指示灯；</w:t>
                  </w:r>
                </w:p>
                <w:p>
                  <w:pPr>
                    <w:pStyle w:val="null3"/>
                    <w:jc w:val="both"/>
                  </w:pPr>
                  <w:r>
                    <w:rPr>
                      <w:rFonts w:ascii="仿宋_GB2312" w:hAnsi="仿宋_GB2312" w:cs="仿宋_GB2312" w:eastAsia="仿宋_GB2312"/>
                      <w:sz w:val="21"/>
                      <w:color w:val="000000"/>
                    </w:rPr>
                    <w:t>6.键盘：自定义扫描键、功能快捷键（≥2个）；</w:t>
                  </w:r>
                </w:p>
                <w:p>
                  <w:pPr>
                    <w:pStyle w:val="null3"/>
                    <w:jc w:val="both"/>
                  </w:pPr>
                  <w:r>
                    <w:rPr>
                      <w:rFonts w:ascii="仿宋_GB2312" w:hAnsi="仿宋_GB2312" w:cs="仿宋_GB2312" w:eastAsia="仿宋_GB2312"/>
                      <w:sz w:val="21"/>
                      <w:color w:val="000000"/>
                    </w:rPr>
                    <w:t>7.摄像头：前置≥500万像素、后置≥1300万像素摄像头（带闪光灯、自动对焦功能）；</w:t>
                  </w:r>
                </w:p>
                <w:p>
                  <w:pPr>
                    <w:pStyle w:val="null3"/>
                    <w:jc w:val="both"/>
                  </w:pPr>
                  <w:r>
                    <w:rPr>
                      <w:rFonts w:ascii="仿宋_GB2312" w:hAnsi="仿宋_GB2312" w:cs="仿宋_GB2312" w:eastAsia="仿宋_GB2312"/>
                      <w:sz w:val="21"/>
                      <w:color w:val="000000"/>
                    </w:rPr>
                    <w:t>8.手电筒：低功耗LED灯照明应急使用；</w:t>
                  </w:r>
                </w:p>
                <w:p>
                  <w:pPr>
                    <w:pStyle w:val="null3"/>
                    <w:jc w:val="both"/>
                  </w:pPr>
                  <w:r>
                    <w:rPr>
                      <w:rFonts w:ascii="仿宋_GB2312" w:hAnsi="仿宋_GB2312" w:cs="仿宋_GB2312" w:eastAsia="仿宋_GB2312"/>
                      <w:sz w:val="21"/>
                      <w:color w:val="000000"/>
                    </w:rPr>
                    <w:t>9.定位功能：GPS+北斗双导航系统，误差范围±3m，支持离线定位；</w:t>
                  </w:r>
                </w:p>
                <w:p>
                  <w:pPr>
                    <w:pStyle w:val="null3"/>
                    <w:jc w:val="both"/>
                  </w:pPr>
                  <w:r>
                    <w:rPr>
                      <w:rFonts w:ascii="仿宋_GB2312" w:hAnsi="仿宋_GB2312" w:cs="仿宋_GB2312" w:eastAsia="仿宋_GB2312"/>
                      <w:sz w:val="21"/>
                      <w:color w:val="000000"/>
                    </w:rPr>
                    <w:t>10.▲ CPU：≥八核64位处理器，主频≥2.0GHz；</w:t>
                  </w:r>
                </w:p>
                <w:p>
                  <w:pPr>
                    <w:pStyle w:val="null3"/>
                    <w:jc w:val="both"/>
                  </w:pPr>
                  <w:r>
                    <w:rPr>
                      <w:rFonts w:ascii="仿宋_GB2312" w:hAnsi="仿宋_GB2312" w:cs="仿宋_GB2312" w:eastAsia="仿宋_GB2312"/>
                      <w:sz w:val="21"/>
                      <w:color w:val="000000"/>
                    </w:rPr>
                    <w:t>11.▲ 内存容量：RAM≥4GB，ROM≥64GB；</w:t>
                  </w:r>
                </w:p>
                <w:p>
                  <w:pPr>
                    <w:pStyle w:val="null3"/>
                    <w:jc w:val="both"/>
                  </w:pPr>
                  <w:r>
                    <w:rPr>
                      <w:rFonts w:ascii="仿宋_GB2312" w:hAnsi="仿宋_GB2312" w:cs="仿宋_GB2312" w:eastAsia="仿宋_GB2312"/>
                      <w:sz w:val="21"/>
                      <w:color w:val="000000"/>
                    </w:rPr>
                    <w:t>12.扩展内存：支持≥256GB MicroSD卡；</w:t>
                  </w:r>
                </w:p>
                <w:p>
                  <w:pPr>
                    <w:pStyle w:val="null3"/>
                    <w:jc w:val="both"/>
                  </w:pPr>
                  <w:r>
                    <w:rPr>
                      <w:rFonts w:ascii="仿宋_GB2312" w:hAnsi="仿宋_GB2312" w:cs="仿宋_GB2312" w:eastAsia="仿宋_GB2312"/>
                      <w:sz w:val="21"/>
                      <w:color w:val="000000"/>
                    </w:rPr>
                    <w:t>13.操作系统：Android 10.0及以上；</w:t>
                  </w:r>
                </w:p>
                <w:p>
                  <w:pPr>
                    <w:pStyle w:val="null3"/>
                    <w:jc w:val="both"/>
                  </w:pPr>
                  <w:r>
                    <w:rPr>
                      <w:rFonts w:ascii="仿宋_GB2312" w:hAnsi="仿宋_GB2312" w:cs="仿宋_GB2312" w:eastAsia="仿宋_GB2312"/>
                      <w:sz w:val="21"/>
                      <w:color w:val="000000"/>
                    </w:rPr>
                    <w:t>14.RFID读写：兼容EPC Class 1 Gen2/ISO 18000-6C标准。</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RFID桌面读写器</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工作频率：</w:t>
                  </w:r>
                  <w:r>
                    <w:rPr>
                      <w:rFonts w:ascii="仿宋_GB2312" w:hAnsi="仿宋_GB2312" w:cs="仿宋_GB2312" w:eastAsia="仿宋_GB2312"/>
                      <w:sz w:val="21"/>
                      <w:color w:val="000000"/>
                    </w:rPr>
                    <w:t>902～928MHz（可按国家/地区要求调整）；</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≥150mm×110mm×24mm；</w:t>
                  </w:r>
                </w:p>
                <w:p>
                  <w:pPr>
                    <w:pStyle w:val="null3"/>
                    <w:jc w:val="both"/>
                  </w:pPr>
                  <w:r>
                    <w:rPr>
                      <w:rFonts w:ascii="仿宋_GB2312" w:hAnsi="仿宋_GB2312" w:cs="仿宋_GB2312" w:eastAsia="仿宋_GB2312"/>
                      <w:sz w:val="21"/>
                      <w:color w:val="000000"/>
                    </w:rPr>
                    <w:t>3.材质：背面采用金属材料，具备信号屏蔽功能；</w:t>
                  </w:r>
                </w:p>
                <w:p>
                  <w:pPr>
                    <w:pStyle w:val="null3"/>
                    <w:jc w:val="both"/>
                  </w:pPr>
                  <w:r>
                    <w:rPr>
                      <w:rFonts w:ascii="仿宋_GB2312" w:hAnsi="仿宋_GB2312" w:cs="仿宋_GB2312" w:eastAsia="仿宋_GB2312"/>
                      <w:sz w:val="21"/>
                      <w:color w:val="000000"/>
                    </w:rPr>
                    <w:t>4.指示灯：电源指示灯、正常运行灯、异常报警灯；</w:t>
                  </w:r>
                </w:p>
                <w:p>
                  <w:pPr>
                    <w:pStyle w:val="null3"/>
                    <w:jc w:val="both"/>
                  </w:pPr>
                  <w:r>
                    <w:rPr>
                      <w:rFonts w:ascii="仿宋_GB2312" w:hAnsi="仿宋_GB2312" w:cs="仿宋_GB2312" w:eastAsia="仿宋_GB2312"/>
                      <w:sz w:val="21"/>
                      <w:color w:val="000000"/>
                    </w:rPr>
                    <w:t>5.供电方式：支持USB直接供电（USB线长度≥1m）；</w:t>
                  </w:r>
                </w:p>
                <w:p>
                  <w:pPr>
                    <w:pStyle w:val="null3"/>
                    <w:jc w:val="both"/>
                  </w:pPr>
                  <w:r>
                    <w:rPr>
                      <w:rFonts w:ascii="仿宋_GB2312" w:hAnsi="仿宋_GB2312" w:cs="仿宋_GB2312" w:eastAsia="仿宋_GB2312"/>
                      <w:sz w:val="21"/>
                      <w:color w:val="000000"/>
                    </w:rPr>
                    <w:t>6.▲工作方式：广谱跳频(FHSS)或定频发射方式可选；</w:t>
                  </w:r>
                </w:p>
                <w:p>
                  <w:pPr>
                    <w:pStyle w:val="null3"/>
                    <w:jc w:val="both"/>
                  </w:pPr>
                  <w:r>
                    <w:rPr>
                      <w:rFonts w:ascii="仿宋_GB2312" w:hAnsi="仿宋_GB2312" w:cs="仿宋_GB2312" w:eastAsia="仿宋_GB2312"/>
                      <w:sz w:val="21"/>
                      <w:color w:val="000000"/>
                    </w:rPr>
                    <w:t>7.输出功率：≥26dBm（可调范围10-26dBm）；</w:t>
                  </w:r>
                </w:p>
                <w:p>
                  <w:pPr>
                    <w:pStyle w:val="null3"/>
                    <w:jc w:val="both"/>
                  </w:pPr>
                  <w:r>
                    <w:rPr>
                      <w:rFonts w:ascii="仿宋_GB2312" w:hAnsi="仿宋_GB2312" w:cs="仿宋_GB2312" w:eastAsia="仿宋_GB2312"/>
                      <w:sz w:val="21"/>
                      <w:color w:val="000000"/>
                    </w:rPr>
                    <w:t>8.天线配置：内置高增益天线，读取距离≥0.5m（标准标签）；</w:t>
                  </w:r>
                </w:p>
                <w:p>
                  <w:pPr>
                    <w:pStyle w:val="null3"/>
                    <w:jc w:val="both"/>
                  </w:pPr>
                  <w:r>
                    <w:rPr>
                      <w:rFonts w:ascii="仿宋_GB2312" w:hAnsi="仿宋_GB2312" w:cs="仿宋_GB2312" w:eastAsia="仿宋_GB2312"/>
                      <w:sz w:val="21"/>
                      <w:color w:val="000000"/>
                    </w:rPr>
                    <w:t>9.工作模式：支持自动方式、交互应答方式、触发方式等多种模式；</w:t>
                  </w:r>
                </w:p>
                <w:p>
                  <w:pPr>
                    <w:pStyle w:val="null3"/>
                    <w:jc w:val="both"/>
                  </w:pPr>
                  <w:r>
                    <w:rPr>
                      <w:rFonts w:ascii="仿宋_GB2312" w:hAnsi="仿宋_GB2312" w:cs="仿宋_GB2312" w:eastAsia="仿宋_GB2312"/>
                      <w:sz w:val="21"/>
                      <w:color w:val="000000"/>
                    </w:rPr>
                    <w:t>10.功耗设计：低功耗，单+9V电源供电，工作功耗≤15W；</w:t>
                  </w:r>
                </w:p>
                <w:p>
                  <w:pPr>
                    <w:pStyle w:val="null3"/>
                    <w:jc w:val="both"/>
                  </w:pPr>
                  <w:r>
                    <w:rPr>
                      <w:rFonts w:ascii="仿宋_GB2312" w:hAnsi="仿宋_GB2312" w:cs="仿宋_GB2312" w:eastAsia="仿宋_GB2312"/>
                      <w:sz w:val="21"/>
                      <w:color w:val="000000"/>
                    </w:rPr>
                    <w:t>11.接口类型：标配USB 3.0、RS232、RS485接口，可选配韦根接口；</w:t>
                  </w:r>
                </w:p>
                <w:p>
                  <w:pPr>
                    <w:pStyle w:val="null3"/>
                    <w:jc w:val="both"/>
                  </w:pPr>
                  <w:r>
                    <w:rPr>
                      <w:rFonts w:ascii="仿宋_GB2312" w:hAnsi="仿宋_GB2312" w:cs="仿宋_GB2312" w:eastAsia="仿宋_GB2312"/>
                      <w:sz w:val="21"/>
                      <w:color w:val="000000"/>
                    </w:rPr>
                    <w:t>12.开发支持：提供动态连接库，支持二次开发；</w:t>
                  </w:r>
                </w:p>
                <w:p>
                  <w:pPr>
                    <w:pStyle w:val="null3"/>
                    <w:jc w:val="both"/>
                  </w:pPr>
                  <w:r>
                    <w:rPr>
                      <w:rFonts w:ascii="仿宋_GB2312" w:hAnsi="仿宋_GB2312" w:cs="仿宋_GB2312" w:eastAsia="仿宋_GB2312"/>
                      <w:sz w:val="21"/>
                      <w:color w:val="000000"/>
                    </w:rPr>
                    <w:t>13.兼容标准：充分支持ISO18000-6B、EPC CLASS1 G2标准电子标签。</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RFID门禁</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color w:val="000000"/>
                    </w:rPr>
                    <w:t>工作频率：</w:t>
                  </w:r>
                  <w:r>
                    <w:rPr>
                      <w:rFonts w:ascii="仿宋_GB2312" w:hAnsi="仿宋_GB2312" w:cs="仿宋_GB2312" w:eastAsia="仿宋_GB2312"/>
                      <w:sz w:val="21"/>
                      <w:color w:val="000000"/>
                    </w:rPr>
                    <w:t>840～960MHz（可按国家/地区要求调整）；</w:t>
                  </w:r>
                </w:p>
                <w:p>
                  <w:pPr>
                    <w:pStyle w:val="null3"/>
                    <w:jc w:val="both"/>
                  </w:pPr>
                  <w:r>
                    <w:rPr>
                      <w:rFonts w:ascii="仿宋_GB2312" w:hAnsi="仿宋_GB2312" w:cs="仿宋_GB2312" w:eastAsia="仿宋_GB2312"/>
                      <w:sz w:val="21"/>
                      <w:color w:val="000000"/>
                    </w:rPr>
                    <w:t>2.▲输出功率：≥33dBm（可调范围20-33dBm）；</w:t>
                  </w:r>
                </w:p>
                <w:p>
                  <w:pPr>
                    <w:pStyle w:val="null3"/>
                    <w:jc w:val="both"/>
                  </w:pPr>
                  <w:r>
                    <w:rPr>
                      <w:rFonts w:ascii="仿宋_GB2312" w:hAnsi="仿宋_GB2312" w:cs="仿宋_GB2312" w:eastAsia="仿宋_GB2312"/>
                      <w:sz w:val="21"/>
                      <w:color w:val="000000"/>
                    </w:rPr>
                    <w:t>3.天线接口：支持≥4个外接TNC天线接口，具备天线自动微调谐和天线检测功能；</w:t>
                  </w:r>
                </w:p>
                <w:p>
                  <w:pPr>
                    <w:pStyle w:val="null3"/>
                    <w:jc w:val="both"/>
                  </w:pPr>
                  <w:r>
                    <w:rPr>
                      <w:rFonts w:ascii="仿宋_GB2312" w:hAnsi="仿宋_GB2312" w:cs="仿宋_GB2312" w:eastAsia="仿宋_GB2312"/>
                      <w:sz w:val="21"/>
                      <w:color w:val="000000"/>
                    </w:rPr>
                    <w:t>4.标签缓存容量：≥1000张@最长96bits EPC；</w:t>
                  </w:r>
                </w:p>
                <w:p>
                  <w:pPr>
                    <w:pStyle w:val="null3"/>
                    <w:jc w:val="both"/>
                  </w:pPr>
                  <w:r>
                    <w:rPr>
                      <w:rFonts w:ascii="仿宋_GB2312" w:hAnsi="仿宋_GB2312" w:cs="仿宋_GB2312" w:eastAsia="仿宋_GB2312"/>
                      <w:sz w:val="21"/>
                      <w:color w:val="000000"/>
                    </w:rPr>
                    <w:t>5.防冲突模式：支持EPC和TID两种防冲突模式，同时识别标签数量≥50张/秒；</w:t>
                  </w:r>
                </w:p>
                <w:p>
                  <w:pPr>
                    <w:pStyle w:val="null3"/>
                    <w:jc w:val="both"/>
                  </w:pPr>
                  <w:r>
                    <w:rPr>
                      <w:rFonts w:ascii="仿宋_GB2312" w:hAnsi="仿宋_GB2312" w:cs="仿宋_GB2312" w:eastAsia="仿宋_GB2312"/>
                      <w:sz w:val="21"/>
                      <w:color w:val="000000"/>
                    </w:rPr>
                    <w:t>6.供电方式：低功耗设计，单12V电源供电，工作功耗≤30W；</w:t>
                  </w:r>
                </w:p>
                <w:p>
                  <w:pPr>
                    <w:pStyle w:val="null3"/>
                    <w:jc w:val="both"/>
                  </w:pPr>
                  <w:r>
                    <w:rPr>
                      <w:rFonts w:ascii="仿宋_GB2312" w:hAnsi="仿宋_GB2312" w:cs="仿宋_GB2312" w:eastAsia="仿宋_GB2312"/>
                      <w:sz w:val="21"/>
                      <w:color w:val="000000"/>
                    </w:rPr>
                    <w:t>7.通讯接口：标配RS232、USB（Slave）、RJ45（TCP/IP）接口；</w:t>
                  </w:r>
                </w:p>
                <w:p>
                  <w:pPr>
                    <w:pStyle w:val="null3"/>
                    <w:jc w:val="both"/>
                  </w:pPr>
                  <w:r>
                    <w:rPr>
                      <w:rFonts w:ascii="仿宋_GB2312" w:hAnsi="仿宋_GB2312" w:cs="仿宋_GB2312" w:eastAsia="仿宋_GB2312"/>
                      <w:sz w:val="21"/>
                      <w:color w:val="000000"/>
                    </w:rPr>
                    <w:t>8.显示终端：≥12寸显示一体机，支持触摸操作；</w:t>
                  </w:r>
                </w:p>
                <w:p>
                  <w:pPr>
                    <w:pStyle w:val="null3"/>
                    <w:jc w:val="both"/>
                  </w:pPr>
                  <w:r>
                    <w:rPr>
                      <w:rFonts w:ascii="仿宋_GB2312" w:hAnsi="仿宋_GB2312" w:cs="仿宋_GB2312" w:eastAsia="仿宋_GB2312"/>
                      <w:sz w:val="21"/>
                      <w:color w:val="000000"/>
                    </w:rPr>
                    <w:t>9.报警功能：支持异常标签报警、非法闯入报警，报警响应时间≤1秒，可联动声光报警器；</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b/>
                      <w:color w:val="000000"/>
                    </w:rPr>
                    <w:t xml:space="preserve"># </w:t>
                  </w:r>
                  <w:r>
                    <w:rPr>
                      <w:rFonts w:ascii="仿宋_GB2312" w:hAnsi="仿宋_GB2312" w:cs="仿宋_GB2312" w:eastAsia="仿宋_GB2312"/>
                      <w:sz w:val="21"/>
                      <w:color w:val="000000"/>
                    </w:rPr>
                    <w:t>兼容标准：支持</w:t>
                  </w:r>
                  <w:r>
                    <w:rPr>
                      <w:rFonts w:ascii="仿宋_GB2312" w:hAnsi="仿宋_GB2312" w:cs="仿宋_GB2312" w:eastAsia="仿宋_GB2312"/>
                      <w:sz w:val="21"/>
                      <w:color w:val="000000"/>
                    </w:rPr>
                    <w:t>EPC CLASS1 G2、ISO18000-6B标准电子标签。</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电子标签</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1.标签材料：PET（耐磨损、抗腐蚀）；</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工作频段：</w:t>
                  </w:r>
                  <w:r>
                    <w:rPr>
                      <w:rFonts w:ascii="仿宋_GB2312" w:hAnsi="仿宋_GB2312" w:cs="仿宋_GB2312" w:eastAsia="仿宋_GB2312"/>
                      <w:sz w:val="21"/>
                      <w:color w:val="000000"/>
                    </w:rPr>
                    <w:t>920MHz-925MHz；</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支持协议：</w:t>
                  </w:r>
                  <w:r>
                    <w:rPr>
                      <w:rFonts w:ascii="仿宋_GB2312" w:hAnsi="仿宋_GB2312" w:cs="仿宋_GB2312" w:eastAsia="仿宋_GB2312"/>
                      <w:sz w:val="21"/>
                      <w:color w:val="000000"/>
                    </w:rPr>
                    <w:t>EPCGlobal C1 Gen2；</w:t>
                  </w:r>
                </w:p>
                <w:p>
                  <w:pPr>
                    <w:pStyle w:val="null3"/>
                    <w:jc w:val="both"/>
                  </w:pPr>
                  <w:r>
                    <w:rPr>
                      <w:rFonts w:ascii="仿宋_GB2312" w:hAnsi="仿宋_GB2312" w:cs="仿宋_GB2312" w:eastAsia="仿宋_GB2312"/>
                      <w:sz w:val="21"/>
                      <w:color w:val="000000"/>
                    </w:rPr>
                    <w:t>4.▲读取距离：标准读写器配置下≥4m；</w:t>
                  </w:r>
                </w:p>
                <w:p>
                  <w:pPr>
                    <w:pStyle w:val="null3"/>
                    <w:jc w:val="both"/>
                  </w:pPr>
                  <w:r>
                    <w:rPr>
                      <w:rFonts w:ascii="仿宋_GB2312" w:hAnsi="仿宋_GB2312" w:cs="仿宋_GB2312" w:eastAsia="仿宋_GB2312"/>
                      <w:sz w:val="21"/>
                      <w:color w:val="000000"/>
                    </w:rPr>
                    <w:t>5.工作模式：可读写；</w:t>
                  </w:r>
                </w:p>
                <w:p>
                  <w:pPr>
                    <w:pStyle w:val="null3"/>
                    <w:jc w:val="both"/>
                  </w:pPr>
                  <w:r>
                    <w:rPr>
                      <w:rFonts w:ascii="仿宋_GB2312" w:hAnsi="仿宋_GB2312" w:cs="仿宋_GB2312" w:eastAsia="仿宋_GB2312"/>
                      <w:sz w:val="21"/>
                      <w:color w:val="000000"/>
                    </w:rPr>
                    <w:t>6.防冲突：支持多标签同时读取；</w:t>
                  </w:r>
                </w:p>
                <w:p>
                  <w:pPr>
                    <w:pStyle w:val="null3"/>
                    <w:jc w:val="both"/>
                  </w:pPr>
                  <w:r>
                    <w:rPr>
                      <w:rFonts w:ascii="仿宋_GB2312" w:hAnsi="仿宋_GB2312" w:cs="仿宋_GB2312" w:eastAsia="仿宋_GB2312"/>
                      <w:sz w:val="21"/>
                      <w:color w:val="000000"/>
                    </w:rPr>
                    <w:t>7.数据规格：可用数据区≥128位，标签识别符（TID）≥64位；</w:t>
                  </w:r>
                </w:p>
                <w:p>
                  <w:pPr>
                    <w:pStyle w:val="null3"/>
                    <w:jc w:val="both"/>
                  </w:pPr>
                  <w:r>
                    <w:rPr>
                      <w:rFonts w:ascii="仿宋_GB2312" w:hAnsi="仿宋_GB2312" w:cs="仿宋_GB2312" w:eastAsia="仿宋_GB2312"/>
                      <w:sz w:val="21"/>
                      <w:color w:val="000000"/>
                    </w:rPr>
                    <w:t>8.数据保存时间：≥10年；</w:t>
                  </w:r>
                </w:p>
                <w:p>
                  <w:pPr>
                    <w:pStyle w:val="null3"/>
                    <w:jc w:val="both"/>
                  </w:pPr>
                  <w:r>
                    <w:rPr>
                      <w:rFonts w:ascii="仿宋_GB2312" w:hAnsi="仿宋_GB2312" w:cs="仿宋_GB2312" w:eastAsia="仿宋_GB2312"/>
                      <w:sz w:val="21"/>
                      <w:color w:val="000000"/>
                    </w:rPr>
                    <w:t>9.防冲突机制：适配多标签读取场景，读取无漏读、误读；</w:t>
                  </w:r>
                </w:p>
                <w:p>
                  <w:pPr>
                    <w:pStyle w:val="null3"/>
                    <w:jc w:val="both"/>
                  </w:pPr>
                  <w:r>
                    <w:rPr>
                      <w:rFonts w:ascii="仿宋_GB2312" w:hAnsi="仿宋_GB2312" w:cs="仿宋_GB2312" w:eastAsia="仿宋_GB2312"/>
                      <w:sz w:val="21"/>
                      <w:color w:val="000000"/>
                    </w:rPr>
                    <w:t>10.特殊性能：可直接粘贴在金属表面使用，金属表面读取率≥99%；</w:t>
                  </w:r>
                </w:p>
                <w:p>
                  <w:pPr>
                    <w:pStyle w:val="null3"/>
                    <w:jc w:val="both"/>
                  </w:pPr>
                  <w:r>
                    <w:rPr>
                      <w:rFonts w:ascii="仿宋_GB2312" w:hAnsi="仿宋_GB2312" w:cs="仿宋_GB2312" w:eastAsia="仿宋_GB2312"/>
                      <w:sz w:val="21"/>
                      <w:color w:val="000000"/>
                    </w:rPr>
                    <w:t>11.支持按实际需求扩容。</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显示看板</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≥1920×1080；</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宽高比：</w:t>
                  </w:r>
                  <w:r>
                    <w:rPr>
                      <w:rFonts w:ascii="仿宋_GB2312" w:hAnsi="仿宋_GB2312" w:cs="仿宋_GB2312" w:eastAsia="仿宋_GB2312"/>
                      <w:sz w:val="21"/>
                      <w:color w:val="000000"/>
                    </w:rPr>
                    <w:t>≥16:9（宽:高）；</w:t>
                  </w:r>
                </w:p>
                <w:p>
                  <w:pPr>
                    <w:pStyle w:val="null3"/>
                    <w:jc w:val="both"/>
                  </w:pPr>
                  <w:r>
                    <w:rPr>
                      <w:rFonts w:ascii="仿宋_GB2312" w:hAnsi="仿宋_GB2312" w:cs="仿宋_GB2312" w:eastAsia="仿宋_GB2312"/>
                      <w:sz w:val="21"/>
                      <w:color w:val="000000"/>
                    </w:rPr>
                    <w:t>3.▲点间距≤0.2672×0.8015mm；</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可视区域</w:t>
                  </w:r>
                  <w:r>
                    <w:rPr>
                      <w:rFonts w:ascii="仿宋_GB2312" w:hAnsi="仿宋_GB2312" w:cs="仿宋_GB2312" w:eastAsia="仿宋_GB2312"/>
                      <w:sz w:val="21"/>
                      <w:color w:val="000000"/>
                    </w:rPr>
                    <w:t>≥1648mm×925mm；</w:t>
                  </w:r>
                </w:p>
                <w:p>
                  <w:pPr>
                    <w:pStyle w:val="null3"/>
                    <w:jc w:val="both"/>
                  </w:pPr>
                  <w:r>
                    <w:rPr>
                      <w:rFonts w:ascii="仿宋_GB2312" w:hAnsi="仿宋_GB2312" w:cs="仿宋_GB2312" w:eastAsia="仿宋_GB2312"/>
                      <w:sz w:val="21"/>
                      <w:color w:val="000000"/>
                    </w:rPr>
                    <w:t>5.亮度：≥350cd/m² (Typ.)；</w:t>
                  </w:r>
                </w:p>
                <w:p>
                  <w:pPr>
                    <w:pStyle w:val="null3"/>
                    <w:jc w:val="both"/>
                  </w:pPr>
                  <w:r>
                    <w:rPr>
                      <w:rFonts w:ascii="仿宋_GB2312" w:hAnsi="仿宋_GB2312" w:cs="仿宋_GB2312" w:eastAsia="仿宋_GB2312"/>
                      <w:sz w:val="21"/>
                      <w:color w:val="000000"/>
                    </w:rPr>
                    <w:t>6.显示颜色：16.7M；</w:t>
                  </w:r>
                </w:p>
                <w:p>
                  <w:pPr>
                    <w:pStyle w:val="null3"/>
                    <w:jc w:val="both"/>
                  </w:pPr>
                  <w:r>
                    <w:rPr>
                      <w:rFonts w:ascii="仿宋_GB2312" w:hAnsi="仿宋_GB2312" w:cs="仿宋_GB2312" w:eastAsia="仿宋_GB2312"/>
                      <w:sz w:val="21"/>
                      <w:color w:val="000000"/>
                    </w:rPr>
                    <w:t>7.色彩饱和度：≥72%；</w:t>
                  </w:r>
                </w:p>
                <w:p>
                  <w:pPr>
                    <w:pStyle w:val="null3"/>
                    <w:jc w:val="both"/>
                  </w:pPr>
                  <w:r>
                    <w:rPr>
                      <w:rFonts w:ascii="仿宋_GB2312" w:hAnsi="仿宋_GB2312" w:cs="仿宋_GB2312" w:eastAsia="仿宋_GB2312"/>
                      <w:sz w:val="21"/>
                      <w:color w:val="000000"/>
                    </w:rPr>
                    <w:t>8.响应时间：≤8ms；</w:t>
                  </w:r>
                </w:p>
                <w:p>
                  <w:pPr>
                    <w:pStyle w:val="null3"/>
                    <w:jc w:val="both"/>
                  </w:pPr>
                  <w:r>
                    <w:rPr>
                      <w:rFonts w:ascii="仿宋_GB2312" w:hAnsi="仿宋_GB2312" w:cs="仿宋_GB2312" w:eastAsia="仿宋_GB2312"/>
                      <w:sz w:val="21"/>
                      <w:color w:val="000000"/>
                    </w:rPr>
                    <w:t>9.理论寿命：≥50000H；</w:t>
                  </w:r>
                </w:p>
                <w:p>
                  <w:pPr>
                    <w:pStyle w:val="null3"/>
                    <w:jc w:val="both"/>
                  </w:pPr>
                  <w:r>
                    <w:rPr>
                      <w:rFonts w:ascii="仿宋_GB2312" w:hAnsi="仿宋_GB2312" w:cs="仿宋_GB2312" w:eastAsia="仿宋_GB2312"/>
                      <w:sz w:val="21"/>
                      <w:color w:val="000000"/>
                    </w:rPr>
                    <w:t>10.外观尺寸（面板）≥1704mm×1019.7mm×53mm；</w:t>
                  </w:r>
                </w:p>
                <w:p>
                  <w:pPr>
                    <w:pStyle w:val="null3"/>
                    <w:jc w:val="both"/>
                  </w:pPr>
                  <w:r>
                    <w:rPr>
                      <w:rFonts w:ascii="仿宋_GB2312" w:hAnsi="仿宋_GB2312" w:cs="仿宋_GB2312" w:eastAsia="仿宋_GB2312"/>
                      <w:sz w:val="21"/>
                      <w:color w:val="000000"/>
                    </w:rPr>
                    <w:t>11.重量：整机重量≤110kg；</w:t>
                  </w:r>
                </w:p>
                <w:p>
                  <w:pPr>
                    <w:pStyle w:val="null3"/>
                    <w:jc w:val="both"/>
                  </w:pPr>
                  <w:r>
                    <w:rPr>
                      <w:rFonts w:ascii="仿宋_GB2312" w:hAnsi="仿宋_GB2312" w:cs="仿宋_GB2312" w:eastAsia="仿宋_GB2312"/>
                      <w:sz w:val="21"/>
                      <w:color w:val="000000"/>
                    </w:rPr>
                    <w:t>12.配置：CPU≥六核处理器，内存≥8GB，硬盘≥128GB。</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1.形态：机架式服务器主机；</w:t>
                  </w:r>
                </w:p>
                <w:p>
                  <w:pPr>
                    <w:pStyle w:val="null3"/>
                    <w:jc w:val="both"/>
                  </w:pPr>
                  <w:r>
                    <w:rPr>
                      <w:rFonts w:ascii="仿宋_GB2312" w:hAnsi="仿宋_GB2312" w:cs="仿宋_GB2312" w:eastAsia="仿宋_GB2312"/>
                      <w:sz w:val="21"/>
                      <w:color w:val="000000"/>
                    </w:rPr>
                    <w:t>2.支持数据库虚拟化、ERP系统部署；</w:t>
                  </w:r>
                </w:p>
                <w:p>
                  <w:pPr>
                    <w:pStyle w:val="null3"/>
                    <w:jc w:val="both"/>
                  </w:pPr>
                  <w:r>
                    <w:rPr>
                      <w:rFonts w:ascii="仿宋_GB2312" w:hAnsi="仿宋_GB2312" w:cs="仿宋_GB2312" w:eastAsia="仿宋_GB2312"/>
                      <w:sz w:val="21"/>
                      <w:color w:val="000000"/>
                    </w:rPr>
                    <w:t>3.▲CPU：2颗企业级高性能处理器，单颗处理器物理核心数≥24核，处理器主频≥2.4GHz；</w:t>
                  </w:r>
                </w:p>
                <w:p>
                  <w:pPr>
                    <w:pStyle w:val="null3"/>
                    <w:jc w:val="both"/>
                  </w:pPr>
                  <w:r>
                    <w:rPr>
                      <w:rFonts w:ascii="仿宋_GB2312" w:hAnsi="仿宋_GB2312" w:cs="仿宋_GB2312" w:eastAsia="仿宋_GB2312"/>
                      <w:sz w:val="21"/>
                      <w:color w:val="000000"/>
                    </w:rPr>
                    <w:t>4.电源：900W双冗余电源（N+1），支持热插拔；</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内存：</w:t>
                  </w:r>
                  <w:r>
                    <w:rPr>
                      <w:rFonts w:ascii="仿宋_GB2312" w:hAnsi="仿宋_GB2312" w:cs="仿宋_GB2312" w:eastAsia="仿宋_GB2312"/>
                      <w:sz w:val="21"/>
                    </w:rPr>
                    <w:t>≥64GB DDR4，支持扩展至256GB；</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b/>
                    </w:rPr>
                    <w:t xml:space="preserve"># </w:t>
                  </w:r>
                  <w:r>
                    <w:rPr>
                      <w:rFonts w:ascii="仿宋_GB2312" w:hAnsi="仿宋_GB2312" w:cs="仿宋_GB2312" w:eastAsia="仿宋_GB2312"/>
                      <w:sz w:val="21"/>
                    </w:rPr>
                    <w:t>存储：</w:t>
                  </w:r>
                  <w:r>
                    <w:rPr>
                      <w:rFonts w:ascii="仿宋_GB2312" w:hAnsi="仿宋_GB2312" w:cs="仿宋_GB2312" w:eastAsia="仿宋_GB2312"/>
                      <w:sz w:val="21"/>
                    </w:rPr>
                    <w:t>≥2×4TB企业级SAS硬盘，支持RAID5阵列（数据冗余保护）；</w:t>
                  </w:r>
                </w:p>
                <w:p>
                  <w:pPr>
                    <w:pStyle w:val="null3"/>
                    <w:jc w:val="both"/>
                  </w:pPr>
                  <w:r>
                    <w:rPr>
                      <w:rFonts w:ascii="仿宋_GB2312" w:hAnsi="仿宋_GB2312" w:cs="仿宋_GB2312" w:eastAsia="仿宋_GB2312"/>
                      <w:sz w:val="21"/>
                    </w:rPr>
                    <w:t>7.接口：≥4个千兆网口，</w:t>
                  </w:r>
                  <w:r>
                    <w:rPr>
                      <w:rFonts w:ascii="仿宋_GB2312" w:hAnsi="仿宋_GB2312" w:cs="仿宋_GB2312" w:eastAsia="仿宋_GB2312"/>
                      <w:sz w:val="21"/>
                      <w:color w:val="000000"/>
                    </w:rPr>
                    <w:t>≥2个USB 3.0接口，≥1个VGA接口；</w:t>
                  </w:r>
                </w:p>
                <w:p>
                  <w:pPr>
                    <w:pStyle w:val="null3"/>
                    <w:jc w:val="both"/>
                  </w:pPr>
                  <w:r>
                    <w:rPr>
                      <w:rFonts w:ascii="仿宋_GB2312" w:hAnsi="仿宋_GB2312" w:cs="仿宋_GB2312" w:eastAsia="仿宋_GB2312"/>
                      <w:sz w:val="21"/>
                      <w:color w:val="000000"/>
                    </w:rPr>
                    <w:t>8.兼容性：支持Windows Server 2019及以上、CentOS 8等及以上操作系统。</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w:t>
                  </w:r>
                  <w:r>
                    <w:rPr>
                      <w:rFonts w:ascii="仿宋_GB2312" w:hAnsi="仿宋_GB2312" w:cs="仿宋_GB2312" w:eastAsia="仿宋_GB2312"/>
                      <w:sz w:val="21"/>
                    </w:rPr>
                    <w:t>AP+AC 管理</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1.▲机架式路由器，≥2个2.5GE电口，≥7个千兆电口，内置AC功能；</w:t>
                  </w:r>
                </w:p>
                <w:p>
                  <w:pPr>
                    <w:pStyle w:val="null3"/>
                    <w:jc w:val="both"/>
                  </w:pPr>
                  <w:r>
                    <w:rPr>
                      <w:rFonts w:ascii="仿宋_GB2312" w:hAnsi="仿宋_GB2312" w:cs="仿宋_GB2312" w:eastAsia="仿宋_GB2312"/>
                      <w:sz w:val="21"/>
                      <w:color w:val="000000"/>
                    </w:rPr>
                    <w:t>2.双频Wi-Fi 吸顶AP；</w:t>
                  </w:r>
                </w:p>
                <w:p>
                  <w:pPr>
                    <w:pStyle w:val="null3"/>
                    <w:jc w:val="both"/>
                  </w:pPr>
                  <w:r>
                    <w:rPr>
                      <w:rFonts w:ascii="仿宋_GB2312" w:hAnsi="仿宋_GB2312" w:cs="仿宋_GB2312" w:eastAsia="仿宋_GB2312"/>
                      <w:sz w:val="21"/>
                      <w:color w:val="000000"/>
                    </w:rPr>
                    <w:t>3.▲≥1个2.5G WAN/PoE上联端口；</w:t>
                  </w:r>
                </w:p>
                <w:p>
                  <w:pPr>
                    <w:pStyle w:val="null3"/>
                    <w:jc w:val="both"/>
                  </w:pPr>
                  <w:r>
                    <w:rPr>
                      <w:rFonts w:ascii="仿宋_GB2312" w:hAnsi="仿宋_GB2312" w:cs="仿宋_GB2312" w:eastAsia="仿宋_GB2312"/>
                      <w:sz w:val="21"/>
                      <w:color w:val="000000"/>
                    </w:rPr>
                    <w:t>4.接入用户数≥65（平均带宽2-4Mbps）；</w:t>
                  </w:r>
                </w:p>
                <w:p>
                  <w:pPr>
                    <w:pStyle w:val="null3"/>
                    <w:jc w:val="both"/>
                  </w:pPr>
                  <w:r>
                    <w:rPr>
                      <w:rFonts w:ascii="仿宋_GB2312" w:hAnsi="仿宋_GB2312" w:cs="仿宋_GB2312" w:eastAsia="仿宋_GB2312"/>
                      <w:sz w:val="21"/>
                      <w:color w:val="000000"/>
                    </w:rPr>
                    <w:t>5.无线终端接入数≥256（理论值）；</w:t>
                  </w:r>
                </w:p>
                <w:p>
                  <w:pPr>
                    <w:pStyle w:val="null3"/>
                    <w:jc w:val="both"/>
                  </w:pPr>
                  <w:r>
                    <w:rPr>
                      <w:rFonts w:ascii="仿宋_GB2312" w:hAnsi="仿宋_GB2312" w:cs="仿宋_GB2312" w:eastAsia="仿宋_GB2312"/>
                      <w:sz w:val="21"/>
                      <w:color w:val="000000"/>
                    </w:rPr>
                    <w:t>6.覆盖半径≥20m（空旷）；</w:t>
                  </w:r>
                </w:p>
                <w:p>
                  <w:pPr>
                    <w:pStyle w:val="null3"/>
                    <w:jc w:val="both"/>
                  </w:pPr>
                  <w:r>
                    <w:rPr>
                      <w:rFonts w:ascii="仿宋_GB2312" w:hAnsi="仿宋_GB2312" w:cs="仿宋_GB2312" w:eastAsia="仿宋_GB2312"/>
                      <w:sz w:val="21"/>
                      <w:color w:val="000000"/>
                    </w:rPr>
                    <w:t>7.自组网网元个数≥32，支持802.11a/b/g/n/ac/ax/be等协议。</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核心交换机</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1.▲交换容量：≥826Gbps/8.26Tbps；</w:t>
                  </w:r>
                </w:p>
                <w:p>
                  <w:pPr>
                    <w:pStyle w:val="null3"/>
                    <w:jc w:val="both"/>
                  </w:pPr>
                  <w:r>
                    <w:rPr>
                      <w:rFonts w:ascii="仿宋_GB2312" w:hAnsi="仿宋_GB2312" w:cs="仿宋_GB2312" w:eastAsia="仿宋_GB2312"/>
                      <w:sz w:val="21"/>
                      <w:color w:val="000000"/>
                    </w:rPr>
                    <w:t>2.▲转发性能：≥228Mpps,支持≥24个10/100/1000BASE-T端口；</w:t>
                  </w:r>
                </w:p>
                <w:p>
                  <w:pPr>
                    <w:pStyle w:val="null3"/>
                    <w:jc w:val="both"/>
                  </w:pPr>
                  <w:r>
                    <w:rPr>
                      <w:rFonts w:ascii="仿宋_GB2312" w:hAnsi="仿宋_GB2312" w:cs="仿宋_GB2312" w:eastAsia="仿宋_GB2312"/>
                      <w:sz w:val="21"/>
                      <w:color w:val="000000"/>
                    </w:rPr>
                    <w:t>3.≥4个10G/1G BASE-X SFP+端口；</w:t>
                  </w:r>
                </w:p>
                <w:p>
                  <w:pPr>
                    <w:pStyle w:val="null3"/>
                    <w:jc w:val="both"/>
                  </w:pPr>
                  <w:r>
                    <w:rPr>
                      <w:rFonts w:ascii="仿宋_GB2312" w:hAnsi="仿宋_GB2312" w:cs="仿宋_GB2312" w:eastAsia="仿宋_GB2312"/>
                      <w:sz w:val="21"/>
                      <w:color w:val="000000"/>
                    </w:rPr>
                    <w:t>4.支持模块化双电源；</w:t>
                  </w:r>
                </w:p>
                <w:p>
                  <w:pPr>
                    <w:pStyle w:val="null3"/>
                    <w:jc w:val="both"/>
                  </w:pPr>
                  <w:r>
                    <w:rPr>
                      <w:rFonts w:ascii="仿宋_GB2312" w:hAnsi="仿宋_GB2312" w:cs="仿宋_GB2312" w:eastAsia="仿宋_GB2312"/>
                      <w:sz w:val="21"/>
                      <w:color w:val="000000"/>
                    </w:rPr>
                    <w:t>5.支持IPv4/IPV6双栈管理和转发；</w:t>
                  </w:r>
                </w:p>
                <w:p>
                  <w:pPr>
                    <w:pStyle w:val="null3"/>
                    <w:jc w:val="both"/>
                  </w:pPr>
                  <w:r>
                    <w:rPr>
                      <w:rFonts w:ascii="仿宋_GB2312" w:hAnsi="仿宋_GB2312" w:cs="仿宋_GB2312" w:eastAsia="仿宋_GB2312"/>
                      <w:sz w:val="21"/>
                      <w:color w:val="000000"/>
                    </w:rPr>
                    <w:t>6.支持静态路由协议和RIP、OSPF、BGP、IS-IS等路由协议；</w:t>
                  </w:r>
                </w:p>
                <w:p>
                  <w:pPr>
                    <w:pStyle w:val="null3"/>
                    <w:jc w:val="both"/>
                  </w:pPr>
                  <w:r>
                    <w:rPr>
                      <w:rFonts w:ascii="仿宋_GB2312" w:hAnsi="仿宋_GB2312" w:cs="仿宋_GB2312" w:eastAsia="仿宋_GB2312"/>
                      <w:sz w:val="21"/>
                      <w:color w:val="000000"/>
                    </w:rPr>
                    <w:t>7.内置及图形化操作的方式，可实现对网络的统一运维及管理。</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POE 交换机</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1.二层网管交换机；</w:t>
                  </w:r>
                </w:p>
                <w:p>
                  <w:pPr>
                    <w:pStyle w:val="null3"/>
                    <w:jc w:val="both"/>
                  </w:pPr>
                  <w:r>
                    <w:rPr>
                      <w:rFonts w:ascii="仿宋_GB2312" w:hAnsi="仿宋_GB2312" w:cs="仿宋_GB2312" w:eastAsia="仿宋_GB2312"/>
                      <w:sz w:val="21"/>
                      <w:color w:val="000000"/>
                    </w:rPr>
                    <w:t>2.▲交换容量≥336Gbps，包转发率≥114Mpps；</w:t>
                  </w:r>
                </w:p>
                <w:p>
                  <w:pPr>
                    <w:pStyle w:val="null3"/>
                    <w:jc w:val="both"/>
                  </w:pPr>
                  <w:r>
                    <w:rPr>
                      <w:rFonts w:ascii="仿宋_GB2312" w:hAnsi="仿宋_GB2312" w:cs="仿宋_GB2312" w:eastAsia="仿宋_GB2312"/>
                      <w:sz w:val="21"/>
                      <w:color w:val="000000"/>
                    </w:rPr>
                    <w:t>3.▲≥16个10/100/1000Mbps自适应电口，≥固化4个SFP千兆光口；</w:t>
                  </w:r>
                </w:p>
                <w:p>
                  <w:pPr>
                    <w:pStyle w:val="null3"/>
                    <w:jc w:val="both"/>
                  </w:pPr>
                  <w:r>
                    <w:rPr>
                      <w:rFonts w:ascii="仿宋_GB2312" w:hAnsi="仿宋_GB2312" w:cs="仿宋_GB2312" w:eastAsia="仿宋_GB2312"/>
                      <w:sz w:val="21"/>
                      <w:color w:val="000000"/>
                    </w:rPr>
                    <w:t>4.支持静态路由、端口镜像、ACL、IPV6、DHCP、划分VLAN等功能；</w:t>
                  </w:r>
                </w:p>
                <w:p>
                  <w:pPr>
                    <w:pStyle w:val="null3"/>
                    <w:jc w:val="both"/>
                  </w:pPr>
                  <w:r>
                    <w:rPr>
                      <w:rFonts w:ascii="仿宋_GB2312" w:hAnsi="仿宋_GB2312" w:cs="仿宋_GB2312" w:eastAsia="仿宋_GB2312"/>
                      <w:sz w:val="21"/>
                      <w:color w:val="000000"/>
                    </w:rPr>
                    <w:t>5.支持802.11a/b/g/n/ac/ax/be等协议。</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弱电安装施工服务</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1.硬件材料：6个万兆单模光模块（1310nm，传输距离10km）、3个42U标准机柜（含PDU电源分配单元）、8箱六类非屏蔽双绞线（每箱305米）、1000米单模12芯光缆、铁管（规格≥20mm）；</w:t>
                  </w:r>
                </w:p>
                <w:p>
                  <w:pPr>
                    <w:pStyle w:val="null3"/>
                    <w:jc w:val="both"/>
                  </w:pPr>
                  <w:r>
                    <w:rPr>
                      <w:rFonts w:ascii="仿宋_GB2312" w:hAnsi="仿宋_GB2312" w:cs="仿宋_GB2312" w:eastAsia="仿宋_GB2312"/>
                      <w:sz w:val="21"/>
                      <w:color w:val="000000"/>
                    </w:rPr>
                    <w:t>2.辅材：水晶头、配线架、理线器、光纤跳线、耦合器、固定卡扣等全套安装辅材；</w:t>
                  </w:r>
                </w:p>
                <w:p>
                  <w:pPr>
                    <w:pStyle w:val="null3"/>
                    <w:jc w:val="both"/>
                  </w:pPr>
                  <w:r>
                    <w:rPr>
                      <w:rFonts w:ascii="仿宋_GB2312" w:hAnsi="仿宋_GB2312" w:cs="仿宋_GB2312" w:eastAsia="仿宋_GB2312"/>
                      <w:sz w:val="21"/>
                      <w:color w:val="000000"/>
                    </w:rPr>
                    <w:t>3.服务内容：现场勘测、方案设计、管线铺设、设备安装调试、系统集成测试、竣工清理；</w:t>
                  </w:r>
                </w:p>
                <w:p>
                  <w:pPr>
                    <w:pStyle w:val="null3"/>
                    <w:jc w:val="both"/>
                  </w:pPr>
                  <w:r>
                    <w:rPr>
                      <w:rFonts w:ascii="仿宋_GB2312" w:hAnsi="仿宋_GB2312" w:cs="仿宋_GB2312" w:eastAsia="仿宋_GB2312"/>
                      <w:sz w:val="21"/>
                      <w:color w:val="000000"/>
                    </w:rPr>
                    <w:t>4.质量要求：施工符合《综合布线系统工程设计规范》（GB 50311-2016），线缆测试合格率100%，质保期≥1年。</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培训服务</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1.服务内容：提供定制化培训，涵盖系统操作、设备维护保养、故障排查、数据安全管理等核心内容；</w:t>
                  </w:r>
                </w:p>
                <w:p>
                  <w:pPr>
                    <w:pStyle w:val="null3"/>
                    <w:jc w:val="both"/>
                  </w:pPr>
                  <w:r>
                    <w:rPr>
                      <w:rFonts w:ascii="仿宋_GB2312" w:hAnsi="仿宋_GB2312" w:cs="仿宋_GB2312" w:eastAsia="仿宋_GB2312"/>
                      <w:sz w:val="21"/>
                      <w:color w:val="000000"/>
                    </w:rPr>
                    <w:t>2.培训形式：线上+线下结合（线下不少于1次，线上不少于1次），培训次数≥2次，每次培训时长≥4小时；</w:t>
                  </w:r>
                </w:p>
                <w:p>
                  <w:pPr>
                    <w:pStyle w:val="null3"/>
                    <w:jc w:val="both"/>
                  </w:pPr>
                  <w:r>
                    <w:rPr>
                      <w:rFonts w:ascii="仿宋_GB2312" w:hAnsi="仿宋_GB2312" w:cs="仿宋_GB2312" w:eastAsia="仿宋_GB2312"/>
                      <w:sz w:val="21"/>
                      <w:color w:val="000000"/>
                    </w:rPr>
                    <w:t>3.培训对象：分层次培训（管理员、操作人员），针对性授课，确保不同岗位人员熟练掌握对应技能；</w:t>
                  </w:r>
                </w:p>
                <w:p>
                  <w:pPr>
                    <w:pStyle w:val="null3"/>
                    <w:jc w:val="both"/>
                  </w:pPr>
                  <w:r>
                    <w:rPr>
                      <w:rFonts w:ascii="仿宋_GB2312" w:hAnsi="仿宋_GB2312" w:cs="仿宋_GB2312" w:eastAsia="仿宋_GB2312"/>
                      <w:sz w:val="21"/>
                      <w:color w:val="000000"/>
                    </w:rPr>
                    <w:t>4.培训资料：提供纸质版与电子版培训资料各1套，含操作手册、维护手册、视频教程、常见问题手册；</w:t>
                  </w:r>
                </w:p>
                <w:p>
                  <w:pPr>
                    <w:pStyle w:val="null3"/>
                    <w:jc w:val="both"/>
                  </w:pPr>
                  <w:r>
                    <w:rPr>
                      <w:rFonts w:ascii="仿宋_GB2312" w:hAnsi="仿宋_GB2312" w:cs="仿宋_GB2312" w:eastAsia="仿宋_GB2312"/>
                      <w:sz w:val="21"/>
                      <w:color w:val="000000"/>
                    </w:rPr>
                    <w:t>5.后续支持：培训后提供3个月在线答疑服务，及时解决使用过程中的问题。</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合同签订之日起30日内完成建设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项目实施完毕后，投标人应向采购人提交项目验收报告，申请项目验收，并将项目实施过程中相关资料提交采购人。采购人收到项目验收报告后，组织相关人员进行验收。 验收标准按照国家、行业有关规范和要求执行。投标人承诺完全达到国家有关部门验收标准，并全部通过验收为交付使用的基本条件，验收过程中的一切费用由供应商承担。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规定和本合同约定，成交供应商未全面履行合同义务或者发生违约，采购人有权终止合同，依法向成交供应商进行经济索赔，并报请政府采购监督管理机关依法进行相应的行政处罚。采购人违约的，应当赔偿给成交供应商造成的经济损失。 合同争议的解决：合同执行中发生争议的，当事人双方应协商解决，协商达不成一致时，可向当地行政仲裁机关申请仲裁或者向人民法院提请诉讼。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国办发〔2025〕34号《国务院办公厅关于在政府采购中实施本国产品标准及相关政策的通知》、陕财办采〔2026〕2号《陕西省财政厅关于在政府采购活动中实施本国产品标准及相关政策的通知》。本项目采购含有多种产品，若供应商为本项目提供的符合本国产品标准的产品成本之和占本次提供的全部产品成本之和的比例达到80%以上时，依法对该供应商提供的全部产品给予价格评审优惠，即对该供应商提供的全部产品的总报价给予20%的价格扣除，用扣除后的价格参与评审。以供应商提供的“关于符合本国产品标准的声明函”为准。此项价格扣除与中小企业声明函价格扣除可同时生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并出具合法有效的营业执照或事业单位法人证书等国家规定的相关证明，自然人参与的提供其身份证明；2、有依法缴纳税收和社会保障资金的良好记录：提供2025年4月1日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提供具有财务审计资质单位出具的2024年或2025年度财务报告，（成立时间至开标时间不足一年的可提供成立后任意时段的资产负债表）或2026年1月1日至今基本账户银行出具的资信证明。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有法定代表人或其委托代理人签字或盖章并加盖单位公章。由委托代理人签字或盖章，出具有效的授权委托书及被授权人身份证。由法定代表人签字或盖章的，应附法定代表人身份证明。</w:t>
            </w:r>
          </w:p>
        </w:tc>
        <w:tc>
          <w:tcPr>
            <w:tcW w:type="dxa" w:w="1661"/>
          </w:tcPr>
          <w:p>
            <w:pPr>
              <w:pStyle w:val="null3"/>
            </w:pPr>
            <w:r>
              <w:rPr>
                <w:rFonts w:ascii="仿宋_GB2312" w:hAnsi="仿宋_GB2312" w:cs="仿宋_GB2312" w:eastAsia="仿宋_GB2312"/>
              </w:rPr>
              <w:t>开标一览表 产品技术参数表 分项报价表.docx 供应商应提交的相关资格证明材料.docx 投标函 标的清单 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所投产品技术参数清楚，明确并能逐条响应招标文件“第三章 招标项目技术、服务、商务及其他要求”3.3技术要求中所有技术参数要求，得22分。其中： （1）“▲”项（15项）满分15分。负偏离每项扣技术参数评审1分，扣完为止。 （2）“#”项（14项）满分7分。负偏离每项扣技术参数评审0.5分，扣完为止。 注：需提供相关作证材料（不限于产品宣传彩页或官网截图或国家认可的检测机构出具的检测报告或产品说明书等资料），不提供或不能证明的不得分。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一、评审内容：投标人针对本项目提供项目实施方案，方案包含以下内容：①供货组织安排②实施计划及进度计划③安装调试验收④物力调配及保障措施⑤针对可能出现的各类突发情况提供应急解决方案。 二、评审标准：根据完整性：内容必须全面，对评审内容中的各项要求有详细描述；可实施性：切合本项目实际情况，提出清晰、合理的内容；针对性：内容能够紧扣项目实际情况，内容科学合理提供相应方案，以序号①、②、③、④、⑤为项数，以上5项内容无缺项、无漏项且无缺陷的得15分，其中每有一项内容存在缺项或漏项的扣3分，每项内容中每有一处存在缺陷的扣1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一、评审内容：投标人针对本项目提供质量保证方案，方案包含以下内容：①产品性能、使用寿命及效果②运输成品保护方案③计划保证措施④运输时效⑤质量保证措施。 二、评审标准：根据完整性：内容必须全面，对评审内容中的各项要求有详细描述；可实施性：切合本项目实际情况，提出清晰、合理的内容；针对性：内容能够紧扣项目实际情况，内容科学合理提供相应方案，以序号①、②、③、④、⑤为项数，以上5项内容无缺项、无漏项且无缺陷的得10分，其中每有一项内容存在缺项或漏项的扣2分，每项内容中每有一处存在缺陷的扣1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一、评审内容：投标人针对本项目提供售后服务方案，方案包含以下内容：①服务范围及保障措施②售后服务团队人员配备方案③售后服务体系及方式。 二、评审标准：根据完整性：内容必须全面，对评审内容中的各项要求有详细描述；可实施性：切合本项目实际情况，提出清晰、合理的内容；针对性：内容能够紧扣项目实际情况，内容科学合理提供相应方案，以序号①、②、③为项数，以上3项内容无缺项、无漏项且无缺陷的得9分，其中每有一项内容存在缺项或漏项的扣3分，每项内容中每有一处存在缺陷的扣1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投标人针对本项目提供培训方案，方案包含以下内容：①培训计划，含培训计划表、地点、时间及培训对象人数等②培训内容，含所提供产品的原理和技术性能、操作维护方法、安装调试、排除故障等。 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投标人提供2023年4月至今具有类似项目业绩；投标文件中需附合同复印件并加盖公章，以合同签订时间为准。每提供1个得2分，满分8分。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1.满足招标文件实质性要求且最终报价最低的供应商的价格为投标基准价，其价格分为满分30分。 2.投标报价得分=（投标基准价/最终投标报价）×30的公式计算得分。 3.投标报价不完整的，不进入评标标准价的计算，本项得0分。 4.经评评标小组一致认定，超过预算金额,其响应将被拒绝。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