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版本号：ZCSP-临渭区-2025-00254、XHLJZC-WN2025-12120251016001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渭南市临渭区农业投入品监管系统整市推进项目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ZCSP-临渭区-2025-00254、XHLJZC-WN2025-121</w:t>
      </w:r>
      <w:r>
        <w:br/>
      </w:r>
      <w:r>
        <w:br/>
      </w:r>
      <w:r>
        <w:br/>
      </w:r>
    </w:p>
    <w:p>
      <w:pPr>
        <w:pStyle w:val="null3"/>
        <w:jc w:val="center"/>
        <w:outlineLvl w:val="2"/>
      </w:pPr>
      <w:r>
        <w:rPr>
          <w:rFonts w:ascii="仿宋_GB2312" w:hAnsi="仿宋_GB2312" w:cs="仿宋_GB2312" w:eastAsia="仿宋_GB2312"/>
          <w:sz w:val="28"/>
          <w:b/>
        </w:rPr>
        <w:t>渭南市临渭区农资农产品质量检验检测中心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渭南市临渭区农资农产品质量检验检测中心</w:t>
      </w:r>
      <w:r>
        <w:rPr>
          <w:rFonts w:ascii="仿宋_GB2312" w:hAnsi="仿宋_GB2312" w:cs="仿宋_GB2312" w:eastAsia="仿宋_GB2312"/>
        </w:rPr>
        <w:t>委托，拟对</w:t>
      </w:r>
      <w:r>
        <w:rPr>
          <w:rFonts w:ascii="仿宋_GB2312" w:hAnsi="仿宋_GB2312" w:cs="仿宋_GB2312" w:eastAsia="仿宋_GB2312"/>
        </w:rPr>
        <w:t>渭南市临渭区农业投入品监管系统整市推进项目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ZCSP-临渭区-2025-00254、XHLJZC-WN2025-121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渭南市临渭区农业投入品监管系统整市推进项目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渭南市临渭区农业投入品监管系统整市推进，详见磋商文件。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渭南市临渭区农资农产品质量检验检测中心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渭南市临渭区民生北街243号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0913-2062962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刘园</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15829421695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渭南市临渭区农资农产品质量检验检测中心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渭南市临渭区农资农产品质量检验检测中心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渭南市临渭区农资农产品质量检验检测中心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渭南市临渭区农业投入品监管系统整市推进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1,701,000.00</w:t>
      </w:r>
    </w:p>
    <w:p>
      <w:pPr>
        <w:pStyle w:val="null3"/>
      </w:pPr>
      <w:r>
        <w:rPr>
          <w:rFonts w:ascii="仿宋_GB2312" w:hAnsi="仿宋_GB2312" w:cs="仿宋_GB2312" w:eastAsia="仿宋_GB2312"/>
        </w:rPr>
        <w:t>采购包最高限价（元）: 1,701,000.00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农业投入品监管系统整市推进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标的名称：农业投入品监管系统整市推进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1.项目概况</w:t>
            </w:r>
          </w:p>
          <w:p>
            <w:pPr>
              <w:pStyle w:val="null3"/>
              <w:ind w:firstLine="480"/>
              <w:jc w:val="left"/>
            </w:pPr>
            <w:r>
              <w:rPr>
                <w:rFonts w:ascii="仿宋_GB2312" w:hAnsi="仿宋_GB2312" w:cs="仿宋_GB2312" w:eastAsia="仿宋_GB2312"/>
                <w:sz w:val="24"/>
                <w:color w:val="000000"/>
              </w:rPr>
              <w:t>拟为全市取得农资经营许可证并处于合法、正常营业状态的门店购置农资门店管理终端，开展数据归集、系统安装部署与网络调试等。其中农资门店智能终端设备包含销售一体机设备、产品扫码设备、身份数据读取设备、票据打印设备、人像采集设备。服务地点涉及</w:t>
            </w:r>
            <w:r>
              <w:rPr>
                <w:rFonts w:ascii="仿宋_GB2312" w:hAnsi="仿宋_GB2312" w:cs="仿宋_GB2312" w:eastAsia="仿宋_GB2312"/>
                <w:sz w:val="24"/>
                <w:color w:val="000000"/>
              </w:rPr>
              <w:t>临渭区</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中标人须在签订合同后</w:t>
            </w:r>
            <w:r>
              <w:rPr>
                <w:rFonts w:ascii="仿宋_GB2312" w:hAnsi="仿宋_GB2312" w:cs="仿宋_GB2312" w:eastAsia="仿宋_GB2312"/>
                <w:sz w:val="24"/>
                <w:color w:val="000000"/>
              </w:rPr>
              <w:t>50</w:t>
            </w:r>
            <w:r>
              <w:rPr>
                <w:rFonts w:ascii="仿宋_GB2312" w:hAnsi="仿宋_GB2312" w:cs="仿宋_GB2312" w:eastAsia="仿宋_GB2312"/>
                <w:sz w:val="24"/>
                <w:color w:val="000000"/>
              </w:rPr>
              <w:t>日历日</w:t>
            </w:r>
            <w:r>
              <w:rPr>
                <w:rFonts w:ascii="仿宋_GB2312" w:hAnsi="仿宋_GB2312" w:cs="仿宋_GB2312" w:eastAsia="仿宋_GB2312"/>
                <w:sz w:val="24"/>
                <w:color w:val="000000"/>
              </w:rPr>
              <w:t>内完成</w:t>
            </w:r>
            <w:r>
              <w:rPr>
                <w:rFonts w:ascii="仿宋_GB2312" w:hAnsi="仿宋_GB2312" w:cs="仿宋_GB2312" w:eastAsia="仿宋_GB2312"/>
                <w:sz w:val="24"/>
                <w:color w:val="000000"/>
              </w:rPr>
              <w:t>项目交付</w:t>
            </w:r>
            <w:r>
              <w:rPr>
                <w:rFonts w:ascii="仿宋_GB2312" w:hAnsi="仿宋_GB2312" w:cs="仿宋_GB2312" w:eastAsia="仿宋_GB2312"/>
                <w:sz w:val="24"/>
                <w:color w:val="000000"/>
              </w:rPr>
              <w:t>，达到验收合格水平。</w:t>
            </w:r>
          </w:p>
          <w:p>
            <w:pPr>
              <w:pStyle w:val="null3"/>
              <w:ind w:firstLine="482"/>
              <w:jc w:val="left"/>
            </w:pPr>
            <w:r>
              <w:rPr>
                <w:rFonts w:ascii="仿宋_GB2312" w:hAnsi="仿宋_GB2312" w:cs="仿宋_GB2312" w:eastAsia="仿宋_GB2312"/>
                <w:sz w:val="24"/>
                <w:b/>
                <w:color w:val="000000"/>
              </w:rPr>
              <w:t>2.采购内容</w:t>
            </w:r>
          </w:p>
          <w:p>
            <w:pPr>
              <w:pStyle w:val="null3"/>
              <w:ind w:firstLine="480"/>
              <w:jc w:val="left"/>
            </w:pPr>
            <w:r>
              <w:rPr>
                <w:rFonts w:ascii="仿宋_GB2312" w:hAnsi="仿宋_GB2312" w:cs="仿宋_GB2312" w:eastAsia="仿宋_GB2312"/>
                <w:sz w:val="24"/>
                <w:color w:val="000000"/>
              </w:rPr>
              <w:t>2.1智能终端</w:t>
            </w:r>
            <w:r>
              <w:rPr>
                <w:rFonts w:ascii="仿宋_GB2312" w:hAnsi="仿宋_GB2312" w:cs="仿宋_GB2312" w:eastAsia="仿宋_GB2312"/>
                <w:sz w:val="24"/>
                <w:color w:val="000000"/>
              </w:rPr>
              <w:t>集成服务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集成</w:t>
            </w:r>
            <w:r>
              <w:rPr>
                <w:rFonts w:ascii="仿宋_GB2312" w:hAnsi="仿宋_GB2312" w:cs="仿宋_GB2312" w:eastAsia="仿宋_GB2312"/>
                <w:sz w:val="24"/>
                <w:color w:val="000000"/>
              </w:rPr>
              <w:t>农资门店智能终端</w:t>
            </w:r>
            <w:r>
              <w:rPr>
                <w:rFonts w:ascii="仿宋_GB2312" w:hAnsi="仿宋_GB2312" w:cs="仿宋_GB2312" w:eastAsia="仿宋_GB2312"/>
                <w:sz w:val="24"/>
                <w:color w:val="000000"/>
              </w:rPr>
              <w:t>400</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2.2数据归集与网络调试：开展智能终端</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的安装与网络调试，</w:t>
            </w:r>
            <w:r>
              <w:rPr>
                <w:rFonts w:ascii="仿宋_GB2312" w:hAnsi="仿宋_GB2312" w:cs="仿宋_GB2312" w:eastAsia="仿宋_GB2312"/>
                <w:sz w:val="24"/>
                <w:color w:val="000000"/>
              </w:rPr>
              <w:t>协助农资门店进行电子台账的整理导入，</w:t>
            </w:r>
            <w:r>
              <w:rPr>
                <w:rFonts w:ascii="仿宋_GB2312" w:hAnsi="仿宋_GB2312" w:cs="仿宋_GB2312" w:eastAsia="仿宋_GB2312"/>
                <w:sz w:val="24"/>
                <w:color w:val="000000"/>
              </w:rPr>
              <w:t>保障农业投入品系统的落地应用。</w:t>
            </w:r>
          </w:p>
          <w:p>
            <w:pPr>
              <w:pStyle w:val="null3"/>
              <w:ind w:firstLine="480"/>
              <w:jc w:val="left"/>
            </w:pPr>
            <w:r>
              <w:rPr>
                <w:rFonts w:ascii="仿宋_GB2312" w:hAnsi="仿宋_GB2312" w:cs="仿宋_GB2312" w:eastAsia="仿宋_GB2312"/>
                <w:sz w:val="24"/>
                <w:color w:val="000000"/>
              </w:rPr>
              <w:t>2.3数据对接：</w:t>
            </w:r>
            <w:r>
              <w:rPr>
                <w:rFonts w:ascii="仿宋_GB2312" w:hAnsi="仿宋_GB2312" w:cs="仿宋_GB2312" w:eastAsia="仿宋_GB2312"/>
                <w:sz w:val="24"/>
                <w:color w:val="000000"/>
              </w:rPr>
              <w:t>实现终端数据与区县级、市级、</w:t>
            </w:r>
            <w:r>
              <w:rPr>
                <w:rFonts w:ascii="仿宋_GB2312" w:hAnsi="仿宋_GB2312" w:cs="仿宋_GB2312" w:eastAsia="仿宋_GB2312"/>
                <w:sz w:val="24"/>
                <w:color w:val="000000"/>
              </w:rPr>
              <w:t>省级农业投入品监管系统</w:t>
            </w:r>
            <w:r>
              <w:rPr>
                <w:rFonts w:ascii="仿宋_GB2312" w:hAnsi="仿宋_GB2312" w:cs="仿宋_GB2312" w:eastAsia="仿宋_GB2312"/>
                <w:sz w:val="24"/>
                <w:color w:val="000000"/>
              </w:rPr>
              <w:t>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为农业投入品监管部门提供可监管的数据分析展示及监理功能</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2.4项目培训：中标人负责为农资门店设备及系统使用人员进行不少于2个工作日关于设备安装、启动、运行及维护以及日常使用操作、维护保养与管理，常见故障的排除、紧急情况的处理等内容的培训</w:t>
            </w:r>
            <w:r>
              <w:rPr>
                <w:rFonts w:ascii="仿宋_GB2312" w:hAnsi="仿宋_GB2312" w:cs="仿宋_GB2312" w:eastAsia="仿宋_GB2312"/>
                <w:sz w:val="24"/>
                <w:color w:val="000000"/>
              </w:rPr>
              <w:t>，确保门店经营者和监管人员熟练掌握系统操作技能</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建设要求：</w:t>
            </w:r>
            <w:r>
              <w:rPr>
                <w:rFonts w:ascii="仿宋_GB2312" w:hAnsi="仿宋_GB2312" w:cs="仿宋_GB2312" w:eastAsia="仿宋_GB2312"/>
                <w:sz w:val="24"/>
                <w:color w:val="000000"/>
              </w:rPr>
              <w:t>基于陕西省农业投入品</w:t>
            </w:r>
            <w:r>
              <w:rPr>
                <w:rFonts w:ascii="仿宋_GB2312" w:hAnsi="仿宋_GB2312" w:cs="仿宋_GB2312" w:eastAsia="仿宋_GB2312"/>
                <w:sz w:val="24"/>
                <w:color w:val="000000"/>
              </w:rPr>
              <w:t>信息化监管建设指南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充分结合我区农业投入品监管工作现状及农资经营主体日常销售系统应用情况。项目计划</w:t>
            </w:r>
            <w:r>
              <w:rPr>
                <w:rFonts w:ascii="仿宋_GB2312" w:hAnsi="仿宋_GB2312" w:cs="仿宋_GB2312" w:eastAsia="仿宋_GB2312"/>
                <w:sz w:val="24"/>
                <w:color w:val="000000"/>
              </w:rPr>
              <w:t>在我区农资经营门店开展农业投入品动态监管预警与信息服务工作。</w:t>
            </w:r>
          </w:p>
          <w:p>
            <w:pPr>
              <w:pStyle w:val="null3"/>
              <w:ind w:firstLine="480"/>
              <w:jc w:val="left"/>
            </w:pPr>
            <w:r>
              <w:rPr>
                <w:rFonts w:ascii="仿宋_GB2312" w:hAnsi="仿宋_GB2312" w:cs="仿宋_GB2312" w:eastAsia="仿宋_GB2312"/>
                <w:sz w:val="24"/>
                <w:color w:val="000000"/>
              </w:rPr>
              <w:t>项目</w:t>
            </w:r>
            <w:r>
              <w:rPr>
                <w:rFonts w:ascii="仿宋_GB2312" w:hAnsi="仿宋_GB2312" w:cs="仿宋_GB2312" w:eastAsia="仿宋_GB2312"/>
                <w:sz w:val="24"/>
                <w:color w:val="000000"/>
              </w:rPr>
              <w:t>围绕农药、兽药、种子、肥料等</w:t>
            </w:r>
            <w:r>
              <w:rPr>
                <w:rFonts w:ascii="仿宋_GB2312" w:hAnsi="仿宋_GB2312" w:cs="仿宋_GB2312" w:eastAsia="仿宋_GB2312"/>
                <w:sz w:val="24"/>
                <w:color w:val="000000"/>
              </w:rPr>
              <w:t>农资</w:t>
            </w:r>
            <w:r>
              <w:rPr>
                <w:rFonts w:ascii="仿宋_GB2312" w:hAnsi="仿宋_GB2312" w:cs="仿宋_GB2312" w:eastAsia="仿宋_GB2312"/>
                <w:sz w:val="24"/>
                <w:color w:val="000000"/>
              </w:rPr>
              <w:t>经营销售监管需求，选择基础条件好、经营稳定、已接入互联网、经营人员具备基本电脑操作技能且有安装意愿的农资门店，配置相关设备</w:t>
            </w:r>
            <w:r>
              <w:rPr>
                <w:rFonts w:ascii="仿宋_GB2312" w:hAnsi="仿宋_GB2312" w:cs="仿宋_GB2312" w:eastAsia="仿宋_GB2312"/>
                <w:sz w:val="24"/>
                <w:color w:val="000000"/>
              </w:rPr>
              <w:t>及电子台账系统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在满足农资经营门店日常销售活动的基础上，实现销售台账数据与区县级、市级、</w:t>
            </w:r>
            <w:r>
              <w:rPr>
                <w:rFonts w:ascii="仿宋_GB2312" w:hAnsi="仿宋_GB2312" w:cs="仿宋_GB2312" w:eastAsia="仿宋_GB2312"/>
                <w:sz w:val="24"/>
                <w:color w:val="000000"/>
              </w:rPr>
              <w:t>省级</w:t>
            </w:r>
            <w:r>
              <w:rPr>
                <w:rFonts w:ascii="仿宋_GB2312" w:hAnsi="仿宋_GB2312" w:cs="仿宋_GB2312" w:eastAsia="仿宋_GB2312"/>
                <w:sz w:val="24"/>
                <w:color w:val="000000"/>
              </w:rPr>
              <w:t>三级监管机构的数据对接工作。</w:t>
            </w:r>
            <w:r>
              <w:rPr>
                <w:rFonts w:ascii="仿宋_GB2312" w:hAnsi="仿宋_GB2312" w:cs="仿宋_GB2312" w:eastAsia="仿宋_GB2312"/>
                <w:sz w:val="24"/>
                <w:color w:val="000000"/>
              </w:rPr>
              <w:t>开展农业投入品监管预警应用，实现农业投入品与农产品质量安全的双向追溯，提高我区农业数字化监管水平。</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智能终端系统：</w:t>
            </w:r>
          </w:p>
          <w:p>
            <w:pPr>
              <w:pStyle w:val="null3"/>
              <w:ind w:firstLine="48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系统应满足农资经营主体日常农资进销存销售管理为基础，</w:t>
            </w:r>
            <w:r>
              <w:rPr>
                <w:rFonts w:ascii="仿宋_GB2312" w:hAnsi="仿宋_GB2312" w:cs="仿宋_GB2312" w:eastAsia="仿宋_GB2312"/>
                <w:sz w:val="24"/>
                <w:color w:val="000000"/>
              </w:rPr>
              <w:t>具备农资</w:t>
            </w:r>
            <w:r>
              <w:rPr>
                <w:rFonts w:ascii="仿宋_GB2312" w:hAnsi="仿宋_GB2312" w:cs="仿宋_GB2312" w:eastAsia="仿宋_GB2312"/>
                <w:sz w:val="24"/>
                <w:color w:val="000000"/>
              </w:rPr>
              <w:t>快速</w:t>
            </w:r>
            <w:r>
              <w:rPr>
                <w:rFonts w:ascii="仿宋_GB2312" w:hAnsi="仿宋_GB2312" w:cs="仿宋_GB2312" w:eastAsia="仿宋_GB2312"/>
                <w:sz w:val="24"/>
                <w:color w:val="000000"/>
              </w:rPr>
              <w:t>扫码出入库、农资销售实时登记、农资实时备案</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3.2.2</w:t>
            </w:r>
            <w:r>
              <w:rPr>
                <w:rFonts w:ascii="仿宋_GB2312" w:hAnsi="仿宋_GB2312" w:cs="仿宋_GB2312" w:eastAsia="仿宋_GB2312"/>
                <w:sz w:val="24"/>
                <w:color w:val="000000"/>
              </w:rPr>
              <w:t>系统可实现</w:t>
            </w:r>
            <w:r>
              <w:rPr>
                <w:rFonts w:ascii="仿宋_GB2312" w:hAnsi="仿宋_GB2312" w:cs="仿宋_GB2312" w:eastAsia="仿宋_GB2312"/>
                <w:sz w:val="24"/>
                <w:color w:val="000000"/>
              </w:rPr>
              <w:t>农户实名制匹配建档</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3.2.3</w:t>
            </w:r>
            <w:r>
              <w:rPr>
                <w:rFonts w:ascii="仿宋_GB2312" w:hAnsi="仿宋_GB2312" w:cs="仿宋_GB2312" w:eastAsia="仿宋_GB2312"/>
                <w:sz w:val="24"/>
                <w:color w:val="000000"/>
              </w:rPr>
              <w:t>系统可实现</w:t>
            </w:r>
            <w:r>
              <w:rPr>
                <w:rFonts w:ascii="仿宋_GB2312" w:hAnsi="仿宋_GB2312" w:cs="仿宋_GB2312" w:eastAsia="仿宋_GB2312"/>
                <w:sz w:val="24"/>
                <w:color w:val="000000"/>
              </w:rPr>
              <w:t>农药处方在线开具、挂账、退换货等功能。</w:t>
            </w:r>
          </w:p>
          <w:p>
            <w:pPr>
              <w:pStyle w:val="null3"/>
              <w:ind w:firstLine="480"/>
              <w:jc w:val="left"/>
            </w:pPr>
            <w:r>
              <w:rPr>
                <w:rFonts w:ascii="仿宋_GB2312" w:hAnsi="仿宋_GB2312" w:cs="仿宋_GB2312" w:eastAsia="仿宋_GB2312"/>
                <w:sz w:val="24"/>
                <w:color w:val="000000"/>
              </w:rPr>
              <w:t>3.2.4</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应具备各类报表汇总、查看功能，包括且不限于库存信息、出入库信息、建档人员信息、订单总量、销售额、农资登记总量等。</w:t>
            </w:r>
          </w:p>
          <w:p>
            <w:pPr>
              <w:pStyle w:val="null3"/>
              <w:ind w:firstLine="480"/>
              <w:jc w:val="left"/>
            </w:pPr>
            <w:r>
              <w:rPr>
                <w:rFonts w:ascii="仿宋_GB2312" w:hAnsi="仿宋_GB2312" w:cs="仿宋_GB2312" w:eastAsia="仿宋_GB2312"/>
                <w:sz w:val="24"/>
                <w:color w:val="000000"/>
              </w:rPr>
              <w:t>3.2.5</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应具备与</w:t>
            </w:r>
            <w:r>
              <w:rPr>
                <w:rFonts w:ascii="仿宋_GB2312" w:hAnsi="仿宋_GB2312" w:cs="仿宋_GB2312" w:eastAsia="仿宋_GB2312"/>
                <w:sz w:val="24"/>
                <w:color w:val="000000"/>
              </w:rPr>
              <w:t>区、市、省三级</w:t>
            </w:r>
            <w:r>
              <w:rPr>
                <w:rFonts w:ascii="仿宋_GB2312" w:hAnsi="仿宋_GB2312" w:cs="仿宋_GB2312" w:eastAsia="仿宋_GB2312"/>
                <w:sz w:val="24"/>
                <w:color w:val="000000"/>
              </w:rPr>
              <w:t>平台互联互通能力，能实现农户人像档案库自动在线识别分析、农资入库与登记备案库实时在线比对等功能，具备数据对外共享报送能力。</w:t>
            </w:r>
          </w:p>
          <w:p>
            <w:pPr>
              <w:pStyle w:val="null3"/>
              <w:ind w:firstLine="48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6系统</w:t>
            </w:r>
            <w:r>
              <w:rPr>
                <w:rFonts w:ascii="仿宋_GB2312" w:hAnsi="仿宋_GB2312" w:cs="仿宋_GB2312" w:eastAsia="仿宋_GB2312"/>
                <w:sz w:val="24"/>
                <w:color w:val="000000"/>
              </w:rPr>
              <w:t>支持与手机端的应用的互联互通，通过手机端进行产品出入库、农资销售实时登记等数据实现与智能终端设备的实时共享。</w:t>
            </w:r>
          </w:p>
          <w:p>
            <w:pPr>
              <w:pStyle w:val="null3"/>
              <w:ind w:firstLine="480"/>
              <w:jc w:val="left"/>
            </w:pPr>
            <w:r>
              <w:rPr>
                <w:rFonts w:ascii="仿宋_GB2312" w:hAnsi="仿宋_GB2312" w:cs="仿宋_GB2312" w:eastAsia="仿宋_GB2312"/>
                <w:sz w:val="24"/>
                <w:color w:val="000000"/>
              </w:rPr>
              <w:t>3.2.7</w:t>
            </w:r>
            <w:r>
              <w:rPr>
                <w:rFonts w:ascii="仿宋_GB2312" w:hAnsi="仿宋_GB2312" w:cs="仿宋_GB2312" w:eastAsia="仿宋_GB2312"/>
                <w:sz w:val="24"/>
                <w:color w:val="000000"/>
              </w:rPr>
              <w:t>智能终端系统数据报送要求：</w:t>
            </w:r>
          </w:p>
          <w:p>
            <w:pPr>
              <w:pStyle w:val="null3"/>
              <w:ind w:firstLine="480"/>
              <w:jc w:val="left"/>
            </w:pPr>
            <w:r>
              <w:rPr>
                <w:rFonts w:ascii="仿宋_GB2312" w:hAnsi="仿宋_GB2312" w:cs="仿宋_GB2312" w:eastAsia="仿宋_GB2312"/>
                <w:sz w:val="24"/>
                <w:color w:val="000000"/>
              </w:rPr>
              <w:t>农资门店的智能终端系统应满足以规定频率、时间、地址向</w:t>
            </w:r>
            <w:r>
              <w:rPr>
                <w:rFonts w:ascii="仿宋_GB2312" w:hAnsi="仿宋_GB2312" w:cs="仿宋_GB2312" w:eastAsia="仿宋_GB2312"/>
                <w:sz w:val="24"/>
                <w:color w:val="000000"/>
              </w:rPr>
              <w:t>各级</w:t>
            </w:r>
            <w:r>
              <w:rPr>
                <w:rFonts w:ascii="仿宋_GB2312" w:hAnsi="仿宋_GB2312" w:cs="仿宋_GB2312" w:eastAsia="仿宋_GB2312"/>
                <w:sz w:val="24"/>
                <w:color w:val="000000"/>
              </w:rPr>
              <w:t>农业投入品监管系统报送规定数据，系统应确保数据报送的完整性，准确性和及时性。</w:t>
            </w:r>
          </w:p>
          <w:p>
            <w:pPr>
              <w:pStyle w:val="null3"/>
              <w:ind w:firstLine="480"/>
              <w:jc w:val="left"/>
            </w:pPr>
            <w:r>
              <w:rPr>
                <w:rFonts w:ascii="仿宋_GB2312" w:hAnsi="仿宋_GB2312" w:cs="仿宋_GB2312" w:eastAsia="仿宋_GB2312"/>
                <w:sz w:val="24"/>
                <w:color w:val="000000"/>
              </w:rPr>
              <w:t>智能终端系统数据报送表</w:t>
            </w:r>
            <w:r>
              <w:rPr>
                <w:rFonts w:ascii="仿宋_GB2312" w:hAnsi="仿宋_GB2312" w:cs="仿宋_GB2312" w:eastAsia="仿宋_GB2312"/>
                <w:sz w:val="24"/>
                <w:color w:val="000000"/>
              </w:rPr>
              <w:t>要求</w:t>
            </w:r>
          </w:p>
          <w:tbl>
            <w:tblPr>
              <w:tblInd w:type="dxa" w:w="195"/>
              <w:tblBorders>
                <w:top w:val="none" w:color="000000" w:sz="4"/>
                <w:left w:val="none" w:color="000000" w:sz="4"/>
                <w:bottom w:val="none" w:color="000000" w:sz="4"/>
                <w:right w:val="none" w:color="000000" w:sz="4"/>
                <w:insideH w:val="none"/>
                <w:insideV w:val="none"/>
              </w:tblBorders>
            </w:tblPr>
            <w:tblGrid>
              <w:gridCol w:w="166"/>
              <w:gridCol w:w="444"/>
              <w:gridCol w:w="364"/>
              <w:gridCol w:w="1569"/>
            </w:tblGrid>
            <w:tr>
              <w:tc>
                <w:tcPr>
                  <w:tcW w:type="dxa" w:w="1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4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数据类别</w:t>
                  </w:r>
                </w:p>
              </w:tc>
              <w:tc>
                <w:tcPr>
                  <w:tcW w:type="dxa" w:w="193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主要内容</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基础信息</w:t>
                  </w:r>
                </w:p>
              </w:tc>
              <w:tc>
                <w:tcPr>
                  <w:tcW w:type="dxa" w:w="19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店铺名称，经营种类</w:t>
                  </w:r>
                  <w:r>
                    <w:rPr>
                      <w:rFonts w:ascii="仿宋_GB2312" w:hAnsi="仿宋_GB2312" w:cs="仿宋_GB2312" w:eastAsia="仿宋_GB2312"/>
                      <w:sz w:val="24"/>
                      <w:color w:val="000000"/>
                    </w:rPr>
                    <w:t>(种子、农药、化肥、农资),门店负责人，门店电话，门店坐标，设备名称，设备类型，设备品牌</w:t>
                  </w:r>
                </w:p>
              </w:tc>
            </w:tr>
            <w:tr>
              <w:tc>
                <w:tcPr>
                  <w:tcW w:type="dxa" w:w="1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出入库信息</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种子、化肥、饲料</w:t>
                  </w:r>
                </w:p>
              </w:tc>
              <w:tc>
                <w:tcPr>
                  <w:tcW w:type="dxa" w:w="15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作物名称，品种名称，登记证号，申请者，育种者</w:t>
                  </w:r>
                  <w:r>
                    <w:rPr>
                      <w:rFonts w:ascii="仿宋_GB2312" w:hAnsi="仿宋_GB2312" w:cs="仿宋_GB2312" w:eastAsia="仿宋_GB2312"/>
                      <w:sz w:val="24"/>
                      <w:color w:val="000000"/>
                    </w:rPr>
                    <w:t>(审定单位),品种来源，库存数量，入库时间，有效期，出库时间</w:t>
                  </w:r>
                </w:p>
              </w:tc>
            </w:tr>
            <w:tr>
              <w:tc>
                <w:tcPr>
                  <w:tcW w:type="dxa" w:w="166"/>
                  <w:vMerge/>
                  <w:tcBorders>
                    <w:top w:val="none" w:color="000000" w:sz="4"/>
                    <w:left w:val="single" w:color="000000" w:sz="4"/>
                    <w:bottom w:val="none" w:color="000000" w:sz="4"/>
                    <w:right w:val="single" w:color="000000" w:sz="4"/>
                  </w:tcBorders>
                </w:tcPr>
                <w:p/>
              </w:tc>
              <w:tc>
                <w:tcPr>
                  <w:tcW w:type="dxa" w:w="444"/>
                  <w:vMerge/>
                  <w:tcBorders>
                    <w:top w:val="none" w:color="000000" w:sz="4"/>
                    <w:left w:val="single" w:color="000000" w:sz="4"/>
                    <w:bottom w:val="non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农、兽药</w:t>
                  </w:r>
                </w:p>
              </w:tc>
              <w:tc>
                <w:tcPr>
                  <w:tcW w:type="dxa" w:w="1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药品</w:t>
                  </w:r>
                  <w:r>
                    <w:rPr>
                      <w:rFonts w:ascii="仿宋_GB2312" w:hAnsi="仿宋_GB2312" w:cs="仿宋_GB2312" w:eastAsia="仿宋_GB2312"/>
                      <w:sz w:val="24"/>
                      <w:color w:val="000000"/>
                    </w:rPr>
                    <w:t>(商品)名称，品牌名称，通用名称(有效成分名称),登记证号，公司名称，首次批准日期，有效期，药品类型，是否进口，规格，作物/防治对象，安全间隔期，库存数量，入库时间，出库时间</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用户档案信息</w:t>
                  </w:r>
                </w:p>
              </w:tc>
              <w:tc>
                <w:tcPr>
                  <w:tcW w:type="dxa" w:w="19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农户名称，身份证，手机号码，地址，创建时间，购买记录</w:t>
                  </w:r>
                </w:p>
              </w:tc>
            </w:tr>
            <w:tr>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销售信息</w:t>
                  </w:r>
                </w:p>
              </w:tc>
              <w:tc>
                <w:tcPr>
                  <w:tcW w:type="dxa" w:w="19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订单号，商品编号，商品数量，商品单价，销售总价，购买人姓名，购买人电话，订单时间，处方记录，规格</w:t>
                  </w:r>
                </w:p>
              </w:tc>
            </w:tr>
          </w:tbl>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智能终端设备</w:t>
            </w:r>
          </w:p>
          <w:tbl>
            <w:tblPr>
              <w:tblInd w:type="dxa" w:w="105"/>
              <w:tblBorders>
                <w:top w:val="none" w:color="000000" w:sz="4"/>
                <w:left w:val="none" w:color="000000" w:sz="4"/>
                <w:bottom w:val="none" w:color="000000" w:sz="4"/>
                <w:right w:val="none" w:color="000000" w:sz="4"/>
                <w:insideH w:val="none"/>
                <w:insideV w:val="none"/>
              </w:tblBorders>
            </w:tblPr>
            <w:tblGrid>
              <w:gridCol w:w="168"/>
              <w:gridCol w:w="314"/>
              <w:gridCol w:w="1468"/>
              <w:gridCol w:w="373"/>
              <w:gridCol w:w="223"/>
            </w:tblGrid>
            <w:tr>
              <w:tc>
                <w:tcPr>
                  <w:tcW w:type="dxa" w:w="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4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技术参数</w:t>
                  </w:r>
                </w:p>
              </w:tc>
              <w:tc>
                <w:tcPr>
                  <w:tcW w:type="dxa" w:w="3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计量单位</w:t>
                  </w:r>
                </w:p>
              </w:tc>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销售一体机设备</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单双屏显示销售一体机参数要求：</w:t>
                  </w:r>
                </w:p>
                <w:p>
                  <w:pPr>
                    <w:pStyle w:val="null3"/>
                    <w:jc w:val="left"/>
                  </w:pPr>
                  <w:r>
                    <w:rPr>
                      <w:rFonts w:ascii="仿宋_GB2312" w:hAnsi="仿宋_GB2312" w:cs="仿宋_GB2312" w:eastAsia="仿宋_GB2312"/>
                      <w:sz w:val="24"/>
                      <w:color w:val="000000"/>
                    </w:rPr>
                    <w:t>1.主屏不低于 12.1"HD,客显不低于10.1"HD；</w:t>
                  </w:r>
                </w:p>
                <w:p>
                  <w:pPr>
                    <w:pStyle w:val="null3"/>
                    <w:jc w:val="left"/>
                  </w:pPr>
                  <w:r>
                    <w:rPr>
                      <w:rFonts w:ascii="仿宋_GB2312" w:hAnsi="仿宋_GB2312" w:cs="仿宋_GB2312" w:eastAsia="仿宋_GB2312"/>
                      <w:sz w:val="24"/>
                      <w:color w:val="000000"/>
                    </w:rPr>
                    <w:t>2.处理器不低于 4 核 2.0GHz；</w:t>
                  </w:r>
                </w:p>
                <w:p>
                  <w:pPr>
                    <w:pStyle w:val="null3"/>
                    <w:jc w:val="left"/>
                  </w:pPr>
                  <w:r>
                    <w:rPr>
                      <w:rFonts w:ascii="仿宋_GB2312" w:hAnsi="仿宋_GB2312" w:cs="仿宋_GB2312" w:eastAsia="仿宋_GB2312"/>
                      <w:sz w:val="24"/>
                      <w:color w:val="000000"/>
                    </w:rPr>
                    <w:t>3.存储器不低于 2GBRAM+16GBROM；</w:t>
                  </w:r>
                </w:p>
                <w:p>
                  <w:pPr>
                    <w:pStyle w:val="null3"/>
                    <w:jc w:val="left"/>
                  </w:pPr>
                  <w:r>
                    <w:rPr>
                      <w:rFonts w:ascii="仿宋_GB2312" w:hAnsi="仿宋_GB2312" w:cs="仿宋_GB2312" w:eastAsia="仿宋_GB2312"/>
                      <w:sz w:val="24"/>
                      <w:color w:val="000000"/>
                    </w:rPr>
                    <w:t>4.触摸屏支持电容多点触摸；</w:t>
                  </w:r>
                </w:p>
                <w:p>
                  <w:pPr>
                    <w:pStyle w:val="null3"/>
                    <w:jc w:val="left"/>
                  </w:pPr>
                  <w:r>
                    <w:rPr>
                      <w:rFonts w:ascii="仿宋_GB2312" w:hAnsi="仿宋_GB2312" w:cs="仿宋_GB2312" w:eastAsia="仿宋_GB2312"/>
                      <w:sz w:val="24"/>
                      <w:color w:val="000000"/>
                    </w:rPr>
                    <w:t>5.Wi-Fi(2.4GHz)支持 IEEE802.11b/g/n 协议；</w:t>
                  </w:r>
                </w:p>
                <w:p>
                  <w:pPr>
                    <w:pStyle w:val="null3"/>
                    <w:jc w:val="left"/>
                  </w:pPr>
                  <w:r>
                    <w:rPr>
                      <w:rFonts w:ascii="仿宋_GB2312" w:hAnsi="仿宋_GB2312" w:cs="仿宋_GB2312" w:eastAsia="仿宋_GB2312"/>
                      <w:sz w:val="24"/>
                      <w:color w:val="000000"/>
                    </w:rPr>
                    <w:t>6.具备蓝牙功能 BT2.1/3.0/4.0/4.2/5.0；</w:t>
                  </w:r>
                </w:p>
                <w:p>
                  <w:pPr>
                    <w:pStyle w:val="null3"/>
                    <w:jc w:val="left"/>
                  </w:pPr>
                  <w:r>
                    <w:rPr>
                      <w:rFonts w:ascii="仿宋_GB2312" w:hAnsi="仿宋_GB2312" w:cs="仿宋_GB2312" w:eastAsia="仿宋_GB2312"/>
                      <w:sz w:val="24"/>
                      <w:color w:val="000000"/>
                    </w:rPr>
                    <w:t>7.外部 USB 接口不低于 2 个，具有 RJ45LAN 口；</w:t>
                  </w:r>
                </w:p>
                <w:p>
                  <w:pPr>
                    <w:pStyle w:val="null3"/>
                    <w:jc w:val="left"/>
                  </w:pPr>
                  <w:r>
                    <w:rPr>
                      <w:rFonts w:ascii="仿宋_GB2312" w:hAnsi="仿宋_GB2312" w:cs="仿宋_GB2312" w:eastAsia="仿宋_GB2312"/>
                      <w:sz w:val="24"/>
                      <w:color w:val="000000"/>
                    </w:rPr>
                    <w:t>8.操作系统不低于Android7。</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产品扫码设备</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具备产品扫描功能，支持条形码和二维码的识读与解析，快速完成产品的出入库、备案与销售。参数要求：</w:t>
                  </w:r>
                </w:p>
                <w:p>
                  <w:pPr>
                    <w:pStyle w:val="null3"/>
                    <w:jc w:val="left"/>
                  </w:pPr>
                  <w:r>
                    <w:rPr>
                      <w:rFonts w:ascii="仿宋_GB2312" w:hAnsi="仿宋_GB2312" w:cs="仿宋_GB2312" w:eastAsia="仿宋_GB2312"/>
                      <w:sz w:val="24"/>
                      <w:color w:val="000000"/>
                    </w:rPr>
                    <w:t>1.设备像素不低于 640*480；</w:t>
                  </w:r>
                </w:p>
                <w:p>
                  <w:pPr>
                    <w:pStyle w:val="null3"/>
                    <w:jc w:val="left"/>
                  </w:pPr>
                  <w:r>
                    <w:rPr>
                      <w:rFonts w:ascii="仿宋_GB2312" w:hAnsi="仿宋_GB2312" w:cs="仿宋_GB2312" w:eastAsia="仿宋_GB2312"/>
                      <w:sz w:val="24"/>
                      <w:color w:val="000000"/>
                    </w:rPr>
                    <w:t>2.支持照明、对焦；</w:t>
                  </w:r>
                </w:p>
                <w:p>
                  <w:pPr>
                    <w:pStyle w:val="null3"/>
                    <w:jc w:val="left"/>
                  </w:pPr>
                  <w:r>
                    <w:rPr>
                      <w:rFonts w:ascii="仿宋_GB2312" w:hAnsi="仿宋_GB2312" w:cs="仿宋_GB2312" w:eastAsia="仿宋_GB2312"/>
                      <w:sz w:val="24"/>
                      <w:color w:val="000000"/>
                    </w:rPr>
                    <w:t>3.识读码制支持条形码和二维码；</w:t>
                  </w:r>
                </w:p>
                <w:p>
                  <w:pPr>
                    <w:pStyle w:val="null3"/>
                    <w:jc w:val="left"/>
                  </w:pPr>
                  <w:r>
                    <w:rPr>
                      <w:rFonts w:ascii="仿宋_GB2312" w:hAnsi="仿宋_GB2312" w:cs="仿宋_GB2312" w:eastAsia="仿宋_GB2312"/>
                      <w:sz w:val="24"/>
                      <w:color w:val="000000"/>
                    </w:rPr>
                    <w:t>4.通讯接口支持 USB2.0；</w:t>
                  </w:r>
                </w:p>
                <w:p>
                  <w:pPr>
                    <w:pStyle w:val="null3"/>
                    <w:jc w:val="left"/>
                  </w:pPr>
                  <w:r>
                    <w:rPr>
                      <w:rFonts w:ascii="仿宋_GB2312" w:hAnsi="仿宋_GB2312" w:cs="仿宋_GB2312" w:eastAsia="仿宋_GB2312"/>
                      <w:sz w:val="24"/>
                      <w:color w:val="000000"/>
                    </w:rPr>
                    <w:t>5.支持 Android 操作系统。</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身份数据读取设备</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1.具备身份证读取功能，通过读取录入农户的身份信息，为农户建立档案；</w:t>
                  </w:r>
                </w:p>
                <w:p>
                  <w:pPr>
                    <w:pStyle w:val="null3"/>
                    <w:jc w:val="left"/>
                  </w:pPr>
                  <w:r>
                    <w:rPr>
                      <w:rFonts w:ascii="仿宋_GB2312" w:hAnsi="仿宋_GB2312" w:cs="仿宋_GB2312" w:eastAsia="仿宋_GB2312"/>
                      <w:sz w:val="24"/>
                      <w:color w:val="000000"/>
                    </w:rPr>
                    <w:t>2.同时具备农户在线建档及本地图像库采集比对功能，通过终端实现农户基础档案在线建档，并完成本地图像库及省级图像库的比对。</w:t>
                  </w:r>
                </w:p>
                <w:p>
                  <w:pPr>
                    <w:pStyle w:val="null3"/>
                    <w:jc w:val="left"/>
                  </w:pPr>
                  <w:r>
                    <w:rPr>
                      <w:rFonts w:ascii="仿宋_GB2312" w:hAnsi="仿宋_GB2312" w:cs="仿宋_GB2312" w:eastAsia="仿宋_GB2312"/>
                      <w:sz w:val="24"/>
                      <w:color w:val="000000"/>
                    </w:rPr>
                    <w:t>3.设备阅读距离不小于 3cm；</w:t>
                  </w:r>
                </w:p>
                <w:p>
                  <w:pPr>
                    <w:pStyle w:val="null3"/>
                    <w:jc w:val="left"/>
                  </w:pPr>
                  <w:r>
                    <w:rPr>
                      <w:rFonts w:ascii="仿宋_GB2312" w:hAnsi="仿宋_GB2312" w:cs="仿宋_GB2312" w:eastAsia="仿宋_GB2312"/>
                      <w:sz w:val="24"/>
                      <w:color w:val="000000"/>
                    </w:rPr>
                    <w:t>4.接口</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USB2.0；</w:t>
                  </w:r>
                </w:p>
                <w:p>
                  <w:pPr>
                    <w:pStyle w:val="null3"/>
                    <w:jc w:val="left"/>
                  </w:pPr>
                  <w:r>
                    <w:rPr>
                      <w:rFonts w:ascii="仿宋_GB2312" w:hAnsi="仿宋_GB2312" w:cs="仿宋_GB2312" w:eastAsia="仿宋_GB2312"/>
                      <w:sz w:val="24"/>
                      <w:color w:val="000000"/>
                    </w:rPr>
                    <w:t>5.支持 0TG 即插即用。</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票据打印设备</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具备销售记录打印功能，通过终端实现销售小票的打印，实现农户留存溯源。参数要求：</w:t>
                  </w:r>
                </w:p>
                <w:p>
                  <w:pPr>
                    <w:pStyle w:val="null3"/>
                    <w:jc w:val="left"/>
                  </w:pPr>
                  <w:r>
                    <w:rPr>
                      <w:rFonts w:ascii="仿宋_GB2312" w:hAnsi="仿宋_GB2312" w:cs="仿宋_GB2312" w:eastAsia="仿宋_GB2312"/>
                      <w:sz w:val="24"/>
                      <w:color w:val="000000"/>
                    </w:rPr>
                    <w:t>1.设备为热敏打印机；</w:t>
                  </w:r>
                </w:p>
                <w:p>
                  <w:pPr>
                    <w:pStyle w:val="null3"/>
                    <w:jc w:val="left"/>
                  </w:pPr>
                  <w:r>
                    <w:rPr>
                      <w:rFonts w:ascii="仿宋_GB2312" w:hAnsi="仿宋_GB2312" w:cs="仿宋_GB2312" w:eastAsia="仿宋_GB2312"/>
                      <w:sz w:val="24"/>
                      <w:color w:val="000000"/>
                    </w:rPr>
                    <w:t>2.接口类型支持 USB；</w:t>
                  </w:r>
                </w:p>
                <w:p>
                  <w:pPr>
                    <w:pStyle w:val="null3"/>
                    <w:jc w:val="left"/>
                  </w:pPr>
                  <w:r>
                    <w:rPr>
                      <w:rFonts w:ascii="仿宋_GB2312" w:hAnsi="仿宋_GB2312" w:cs="仿宋_GB2312" w:eastAsia="仿宋_GB2312"/>
                      <w:sz w:val="24"/>
                      <w:color w:val="000000"/>
                    </w:rPr>
                    <w:t>3.支持常规的小票打印纸规格。</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人像采集设备</w:t>
                  </w:r>
                </w:p>
              </w:tc>
              <w:tc>
                <w:tcPr>
                  <w:tcW w:type="dxa" w:w="1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具备人脸捕捉功能，采集的图像与农户档案关联，可实现本地人脸采集及比对分析。参数要求：</w:t>
                  </w:r>
                </w:p>
                <w:p>
                  <w:pPr>
                    <w:pStyle w:val="null3"/>
                    <w:jc w:val="left"/>
                  </w:pPr>
                  <w:r>
                    <w:rPr>
                      <w:rFonts w:ascii="仿宋_GB2312" w:hAnsi="仿宋_GB2312" w:cs="仿宋_GB2312" w:eastAsia="仿宋_GB2312"/>
                      <w:sz w:val="24"/>
                      <w:color w:val="000000"/>
                    </w:rPr>
                    <w:t>1.设备最大分辨率不低于720p/30fps；</w:t>
                  </w:r>
                </w:p>
                <w:p>
                  <w:pPr>
                    <w:pStyle w:val="null3"/>
                    <w:jc w:val="left"/>
                  </w:pPr>
                  <w:r>
                    <w:rPr>
                      <w:rFonts w:ascii="仿宋_GB2312" w:hAnsi="仿宋_GB2312" w:cs="仿宋_GB2312" w:eastAsia="仿宋_GB2312"/>
                      <w:sz w:val="24"/>
                      <w:color w:val="000000"/>
                    </w:rPr>
                    <w:t>2.可实现自动对焦；</w:t>
                  </w:r>
                </w:p>
                <w:p>
                  <w:pPr>
                    <w:pStyle w:val="null3"/>
                    <w:jc w:val="left"/>
                  </w:pPr>
                  <w:r>
                    <w:rPr>
                      <w:rFonts w:ascii="仿宋_GB2312" w:hAnsi="仿宋_GB2312" w:cs="仿宋_GB2312" w:eastAsia="仿宋_GB2312"/>
                      <w:sz w:val="24"/>
                      <w:color w:val="000000"/>
                    </w:rPr>
                    <w:t>3.支持 Android 操作系统。</w:t>
                  </w:r>
                </w:p>
              </w:tc>
              <w:tc>
                <w:tcPr>
                  <w:tcW w:type="dxa" w:w="3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r>
          </w:tbl>
          <w:p>
            <w:pPr>
              <w:pStyle w:val="null3"/>
            </w:pPr>
            <w:r>
              <w:rPr>
                <w:rFonts w:ascii="仿宋_GB2312" w:hAnsi="仿宋_GB2312" w:cs="仿宋_GB2312" w:eastAsia="仿宋_GB2312"/>
                <w:sz w:val="24"/>
                <w:color w:val="000000"/>
              </w:rPr>
              <w:t>3.4提供运维服务三年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质保期：验收合格后软件三年质保，硬件三年质保，终身技术支持。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合同签订后50日历日内实施完成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渭南市临渭区农资农产品质量检验检测中心指定地点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项目验收合格之后并出具验收报告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费用组成表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供应商提供针对本项目的实施方案，内容包括： ①供货组织及进度安排； ②运输方案； ③安装、调试、验收方案。 2、评审标准 ①完整性：方案须全面，对评审内容中的各项要求有详细描述及说明； ②可实施性：切合本项目实际情况，实施步骤清晰、合理； ③针对性：方案能够紧扣项目实际情况，内容科学合理。 3、赋分标准 ①供货组织及进度安排：每完全满足一项评审标准得1分，满分3分； ②运输方案：每完全满足一项评审标准得1分，满分3分； ③安装、调试、验收方案：每完全满足一项评审标准得1分，满分3分。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设备应用功能证明材料</w:t>
            </w:r>
          </w:p>
        </w:tc>
        <w:tc>
          <w:tcPr>
            <w:tcW w:type="dxa" w:w="2492"/>
          </w:tcPr>
          <w:p>
            <w:pPr>
              <w:pStyle w:val="null3"/>
            </w:pPr>
            <w:r>
              <w:rPr>
                <w:rFonts w:ascii="仿宋_GB2312" w:hAnsi="仿宋_GB2312" w:cs="仿宋_GB2312" w:eastAsia="仿宋_GB2312"/>
              </w:rPr>
              <w:t>供应商提供针对本项目的设备应用功能证明材料： 1.实现农资在线销售：①实现电脑端及移动端APP农药、兽药、种子、化肥、农机具等农资产品的在线销售与批发；②实现农药、兽药处方在线开具；③实现电子台账及电子处方的记录及销售凭证的打印功能。包括但不限于产品说明书、真实系统截图，满分为3分，每缺少一项扣1分；未提供不得分。 2.实现农资在线备案：基于全国农资数据库，①实现农资登记证查询及产品（种子、农药、化肥、兽药）快速检索、识假辨假和添加功能；②实现全国生产企业及农资供应商的快速检索和添加；③实现农户小程序自主查询积分、余额、订单信息等功能。包括但不限于产品说明书、真实系统截图，满分为3分，每缺少一项扣1分；未提供不得分。 3.实现农户实名制建档：①实现身份证实时读取；②实现农户影像在线采集；③实现农户人像信息采集及识别分析，快速识别农户信息。包括但不限于产品说明书、真实系统截图，满分为3分，每缺少一项扣1分；未提供不得分。 4.实现门店经营管理：实现农资产品的①库存批次管理②订单查询③报表分析④挂账管理⑤财务及决策管理⑥促销等实用功能。包括但不限于产品说明书、真实系统截图，满分为6分，每缺少一项扣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数据对接方案</w:t>
            </w:r>
          </w:p>
        </w:tc>
        <w:tc>
          <w:tcPr>
            <w:tcW w:type="dxa" w:w="2492"/>
          </w:tcPr>
          <w:p>
            <w:pPr>
              <w:pStyle w:val="null3"/>
            </w:pPr>
            <w:r>
              <w:rPr>
                <w:rFonts w:ascii="仿宋_GB2312" w:hAnsi="仿宋_GB2312" w:cs="仿宋_GB2312" w:eastAsia="仿宋_GB2312"/>
              </w:rPr>
              <w:t>1、评审内容 供应商提供针对本项目的数据对接方案，内容包括： ①基础信息； ②出入库信息； ③用户档案信息； ④销售信息。 2、评审标准 ①完整性：方案须全面，对评审内容中的各项要求有详细描述及说明； ②可实施性：切合本项目实际情况，实施步骤清晰、合理； ③针对性：方案能够紧扣项目实际情况，内容科学合理。 3、赋分标准 ①基础信息：每完全满足一项评审标准得1分，满分3分； ②出入库信息：每完全满足一项评审标准得1分，满分3分； ③用户档案信息：每完全满足一项评审标准得1分，满分3分； ④销售信息：每完全满足一项评审标准得1分，满分3分。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供应商提供拟派本项目工作人员组成情况（有具体成员名单，包括姓名、工作经验、工作职责、联系方式、人员社保等）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提供针对本项目的应急措施，项目实施过程中针对突发事件和重大业务时间节点的风险防范措施及应急突发事件的处理预案。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①服务质量承诺：每完全满足一项评审标准得1.5分，满分4.5分； ②服务体系及响应时间：每完全满足一项评审标准得1.5分，满分4.5分。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 ③培训内容。 2、评审标准 ①完整性：方案须全面，对评审内容中的各项要求有详细描述及说明； ②可实施性：切合本项目实际情况，步骤清晰、合理，操作性强； ③针对性：方案能够紧扣项目实际情况，内容科学合理。 3、赋分标准 ①培训计划：每完全满足一项评审标准得1分，满分3分； ②培训方式：每完全满足一项评审标准得1分，满分3分； ③培训内容：每完全满足一项评审标准得1分，满分3分。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详见附件：费用组成表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