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版本号：ZCSP-临渭区-2025-0025320251017001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临渭区花椒标准化示范园项目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ZCSP-临渭区-2025-00253</w:t>
      </w:r>
      <w:r>
        <w:br/>
      </w:r>
      <w:r>
        <w:br/>
      </w:r>
      <w:r>
        <w:br/>
      </w:r>
    </w:p>
    <w:p>
      <w:pPr>
        <w:pStyle w:val="null3"/>
        <w:jc w:val="center"/>
        <w:outlineLvl w:val="2"/>
      </w:pPr>
      <w:r>
        <w:rPr>
          <w:rFonts w:ascii="仿宋_GB2312" w:hAnsi="仿宋_GB2312" w:cs="仿宋_GB2312" w:eastAsia="仿宋_GB2312"/>
          <w:sz w:val="28"/>
          <w:b/>
        </w:rPr>
        <w:t>渭南市临渭区林业工作站</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渭南市临渭区林业工作站</w:t>
      </w:r>
      <w:r>
        <w:rPr>
          <w:rFonts w:ascii="仿宋_GB2312" w:hAnsi="仿宋_GB2312" w:cs="仿宋_GB2312" w:eastAsia="仿宋_GB2312"/>
        </w:rPr>
        <w:t>委托，拟对</w:t>
      </w:r>
      <w:r>
        <w:rPr>
          <w:rFonts w:ascii="仿宋_GB2312" w:hAnsi="仿宋_GB2312" w:cs="仿宋_GB2312" w:eastAsia="仿宋_GB2312"/>
        </w:rPr>
        <w:t>临渭区花椒标准化示范园项目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临渭区花椒标准化示范园项目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为实现花椒产业提质增效、树立行业发展标杆、带动区域产业升级，本项目拟建设花椒标准化示范园约600亩。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采购包1（临渭区花椒标准化示范园项目）：属于专门面向中小企业采购。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1、投标保证金交纳凭证：投标保证金交纳凭证</w:t>
      </w:r>
    </w:p>
    <w:p>
      <w:pPr>
        <w:pStyle w:val="null3"/>
      </w:pPr>
      <w:r>
        <w:rPr>
          <w:rFonts w:ascii="仿宋_GB2312" w:hAnsi="仿宋_GB2312" w:cs="仿宋_GB2312" w:eastAsia="仿宋_GB2312"/>
        </w:rPr>
        <w:t>2、信用信息：供应商不得为“信用中国”网站（www.creditchina.gov.cn）中列入失信被执行人、重大税收违法失信主体及严重违法失信企业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3、法定代表人身份证明书或授权委托书：法定代表人参与投标时需提供法定代表人身份证明书；被授权人参与投标时需提供法定代表人授权委托书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4、项目负责人：项目负责人需具备林业类或园林类等相关专业中级及以上职称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渭南市东风街古依市巷5号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李站长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0913-2059010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采购包1：865,700.00元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进行计算，按照标准的55%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渭南市临渭区林业工作站</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渭南市临渭区林业工作站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为实现花椒产业提质增效、树立行业发展标杆、带动区域产业升级，本项目拟建设花椒标准化示范园约600亩。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865,700.00</w:t>
      </w:r>
    </w:p>
    <w:p>
      <w:pPr>
        <w:pStyle w:val="null3"/>
      </w:pPr>
      <w:r>
        <w:rPr>
          <w:rFonts w:ascii="仿宋_GB2312" w:hAnsi="仿宋_GB2312" w:cs="仿宋_GB2312" w:eastAsia="仿宋_GB2312"/>
        </w:rPr>
        <w:t>采购包最高限价（元）: 865,700.00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临渭区花椒标准化示范园建设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865,700.00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标的名称：临渭区花椒标准化示范园建设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（一）示范园营建服务</w:t>
            </w:r>
          </w:p>
          <w:p>
            <w:pPr>
              <w:pStyle w:val="null3"/>
            </w:pPr>
            <w:r>
              <w:rPr>
                <w:rFonts w:ascii="仿宋_GB2312" w:hAnsi="仿宋_GB2312" w:cs="仿宋_GB2312" w:eastAsia="仿宋_GB2312"/>
              </w:rPr>
              <w:t>1、良种更新改造：包含苗木采购、间伐整地、建园栽植及抚育管护；</w:t>
            </w:r>
          </w:p>
          <w:p>
            <w:pPr>
              <w:pStyle w:val="null3"/>
            </w:pPr>
            <w:r>
              <w:rPr>
                <w:rFonts w:ascii="仿宋_GB2312" w:hAnsi="仿宋_GB2312" w:cs="仿宋_GB2312" w:eastAsia="仿宋_GB2312"/>
              </w:rPr>
              <w:t>2、丰产示范园抓建：包含整形修剪、病虫害防治、抚育管护、有机肥及农药采购；</w:t>
            </w:r>
          </w:p>
          <w:p>
            <w:pPr>
              <w:pStyle w:val="null3"/>
            </w:pPr>
            <w:r>
              <w:rPr>
                <w:rFonts w:ascii="仿宋_GB2312" w:hAnsi="仿宋_GB2312" w:cs="仿宋_GB2312" w:eastAsia="仿宋_GB2312"/>
              </w:rPr>
              <w:t>（二）简易设施</w:t>
            </w:r>
          </w:p>
          <w:p>
            <w:pPr>
              <w:pStyle w:val="null3"/>
            </w:pPr>
            <w:r>
              <w:rPr>
                <w:rFonts w:ascii="仿宋_GB2312" w:hAnsi="仿宋_GB2312" w:cs="仿宋_GB2312" w:eastAsia="仿宋_GB2312"/>
              </w:rPr>
              <w:t>包含微耕机及杀虫灯采购；</w:t>
            </w:r>
          </w:p>
          <w:p>
            <w:pPr>
              <w:pStyle w:val="null3"/>
            </w:pPr>
            <w:r>
              <w:rPr>
                <w:rFonts w:ascii="仿宋_GB2312" w:hAnsi="仿宋_GB2312" w:cs="仿宋_GB2312" w:eastAsia="仿宋_GB2312"/>
              </w:rPr>
              <w:t>（三）浇水设施建设服务</w:t>
            </w:r>
          </w:p>
          <w:p>
            <w:pPr>
              <w:pStyle w:val="null3"/>
            </w:pPr>
            <w:r>
              <w:rPr>
                <w:rFonts w:ascii="仿宋_GB2312" w:hAnsi="仿宋_GB2312" w:cs="仿宋_GB2312" w:eastAsia="仿宋_GB2312"/>
              </w:rPr>
              <w:t>包含安装蓄水池、HDPE管道、PE管道、离心水泵及控制系统；具体服务内容及技术要求以项目实施方案为准。</w:t>
            </w:r>
          </w:p>
          <w:p>
            <w:pPr>
              <w:pStyle w:val="null3"/>
            </w:pPr>
            <w:r>
              <w:rPr>
                <w:rFonts w:ascii="仿宋_GB2312" w:hAnsi="仿宋_GB2312" w:cs="仿宋_GB2312" w:eastAsia="仿宋_GB2312"/>
              </w:rPr>
              <w:t>二、主要技术措施</w:t>
            </w:r>
          </w:p>
          <w:p>
            <w:pPr>
              <w:pStyle w:val="null3"/>
            </w:pPr>
            <w:r>
              <w:rPr>
                <w:rFonts w:ascii="仿宋_GB2312" w:hAnsi="仿宋_GB2312" w:cs="仿宋_GB2312" w:eastAsia="仿宋_GB2312"/>
              </w:rPr>
              <w:t>1、低产园良种改建</w:t>
            </w:r>
          </w:p>
          <w:p>
            <w:pPr>
              <w:pStyle w:val="null3"/>
            </w:pPr>
            <w:r>
              <w:rPr>
                <w:rFonts w:ascii="仿宋_GB2312" w:hAnsi="仿宋_GB2312" w:cs="仿宋_GB2312" w:eastAsia="仿宋_GB2312"/>
              </w:rPr>
              <w:t>针对张胡村花椒园良种比例不足，花椒品质低下，群众效益不高的情况，对花椒品种进行更新改造，为有效降低群众毁园收入骤降的情况，拟对原老化品种花椒进行间伐，在间伐后的株行距中间隔栽植良种花椒，用2-3年更新为良种花椒园。</w:t>
            </w:r>
          </w:p>
          <w:p>
            <w:pPr>
              <w:pStyle w:val="null3"/>
            </w:pPr>
            <w:r>
              <w:rPr>
                <w:rFonts w:ascii="仿宋_GB2312" w:hAnsi="仿宋_GB2312" w:cs="仿宋_GB2312" w:eastAsia="仿宋_GB2312"/>
              </w:rPr>
              <w:t>（1）园地整理</w:t>
            </w:r>
          </w:p>
          <w:p>
            <w:pPr>
              <w:pStyle w:val="null3"/>
            </w:pPr>
            <w:r>
              <w:rPr>
                <w:rFonts w:ascii="仿宋_GB2312" w:hAnsi="仿宋_GB2312" w:cs="仿宋_GB2312" w:eastAsia="仿宋_GB2312"/>
              </w:rPr>
              <w:t>① 间伐：对低产园老化品种按照1：1比例进行间伐，间伐后要对原老化品种的根系清理彻底，原栽植坑施有机菌肥10公斤，尽量消除原品种对良种的影响。</w:t>
            </w:r>
          </w:p>
          <w:p>
            <w:pPr>
              <w:pStyle w:val="null3"/>
            </w:pPr>
            <w:r>
              <w:rPr>
                <w:rFonts w:ascii="仿宋_GB2312" w:hAnsi="仿宋_GB2312" w:cs="仿宋_GB2312" w:eastAsia="仿宋_GB2312"/>
              </w:rPr>
              <w:t>② 挖栽植坑：造林前一个月在距离原栽植坑50cm处挖栽植穴，栽植穴规格为60cm×60cm×50cm，做到拣清杂根石块，生土围埂、熟土回填。</w:t>
            </w:r>
          </w:p>
          <w:p>
            <w:pPr>
              <w:pStyle w:val="null3"/>
            </w:pPr>
            <w:r>
              <w:rPr>
                <w:rFonts w:ascii="仿宋_GB2312" w:hAnsi="仿宋_GB2312" w:cs="仿宋_GB2312" w:eastAsia="仿宋_GB2312"/>
              </w:rPr>
              <w:t>（2）建园密度和苗木标准</w:t>
            </w:r>
          </w:p>
          <w:p>
            <w:pPr>
              <w:pStyle w:val="null3"/>
            </w:pPr>
            <w:r>
              <w:rPr>
                <w:rFonts w:ascii="仿宋_GB2312" w:hAnsi="仿宋_GB2312" w:cs="仿宋_GB2312" w:eastAsia="仿宋_GB2312"/>
              </w:rPr>
              <w:t>① 株行距和建园密度：株行距为4m×5m,每亩建园密度为33株/亩。</w:t>
            </w:r>
          </w:p>
          <w:p>
            <w:pPr>
              <w:pStyle w:val="null3"/>
            </w:pPr>
            <w:r>
              <w:rPr>
                <w:rFonts w:ascii="仿宋_GB2312" w:hAnsi="仿宋_GB2312" w:cs="仿宋_GB2312" w:eastAsia="仿宋_GB2312"/>
              </w:rPr>
              <w:t>②苗木标准：苗木质量应达到GB/T 15776-2023规定的Ⅰ级苗木标准以上，采用2年生嫁接苗，苗高60cm以上。</w:t>
            </w:r>
          </w:p>
          <w:p>
            <w:pPr>
              <w:pStyle w:val="null3"/>
            </w:pPr>
            <w:r>
              <w:rPr>
                <w:rFonts w:ascii="仿宋_GB2312" w:hAnsi="仿宋_GB2312" w:cs="仿宋_GB2312" w:eastAsia="仿宋_GB2312"/>
              </w:rPr>
              <w:t>花椒嫁接苗木标准表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级别</w:t>
                  </w:r>
                </w:p>
                <w:p>
                  <w:pPr>
                    <w:pStyle w:val="null3"/>
                  </w:pPr>
                  <w:r>
                    <w:rPr>
                      <w:rFonts w:ascii="仿宋_GB2312" w:hAnsi="仿宋_GB2312" w:cs="仿宋_GB2312" w:eastAsia="仿宋_GB2312"/>
                    </w:rPr>
                    <w:t>项目</w:t>
                  </w:r>
                </w:p>
              </w:tc>
              <w:tc>
                <w:tcPr>
                  <w:tcW w:type="dxa" w:w="638"/>
                </w:tcPr>
                <w:p>
                  <w:pPr>
                    <w:pStyle w:val="null3"/>
                  </w:pPr>
                  <w:r>
                    <w:rPr>
                      <w:rFonts w:ascii="仿宋_GB2312" w:hAnsi="仿宋_GB2312" w:cs="仿宋_GB2312" w:eastAsia="仿宋_GB2312"/>
                    </w:rPr>
                    <w:t>Ⅰ级</w:t>
                  </w:r>
                </w:p>
              </w:tc>
              <w:tc>
                <w:tcPr>
                  <w:tcW w:type="dxa" w:w="638"/>
                </w:tcPr>
                <w:p>
                  <w:pPr>
                    <w:pStyle w:val="null3"/>
                  </w:pPr>
                  <w:r>
                    <w:rPr>
                      <w:rFonts w:ascii="仿宋_GB2312" w:hAnsi="仿宋_GB2312" w:cs="仿宋_GB2312" w:eastAsia="仿宋_GB2312"/>
                    </w:rPr>
                    <w:t>Ⅱ级</w:t>
                  </w:r>
                </w:p>
              </w:tc>
              <w:tc>
                <w:tcPr>
                  <w:tcW w:type="dxa" w:w="638"/>
                </w:tcPr>
                <w:p>
                  <w:pPr>
                    <w:pStyle w:val="null3"/>
                  </w:pPr>
                  <w:r>
                    <w:rPr>
                      <w:rFonts w:ascii="仿宋_GB2312" w:hAnsi="仿宋_GB2312" w:cs="仿宋_GB2312" w:eastAsia="仿宋_GB2312"/>
                    </w:rPr>
                    <w:t>综合控制指标</w:t>
                  </w:r>
                </w:p>
              </w:tc>
            </w:tr>
            <w:tr>
              <w:tc>
                <w:tcPr>
                  <w:tcW w:type="dxa" w:w="638"/>
                </w:tcPr>
                <w:p>
                  <w:pPr>
                    <w:pStyle w:val="null3"/>
                  </w:pPr>
                  <w:r>
                    <w:rPr>
                      <w:rFonts w:ascii="仿宋_GB2312" w:hAnsi="仿宋_GB2312" w:cs="仿宋_GB2312" w:eastAsia="仿宋_GB2312"/>
                    </w:rPr>
                    <w:t>嫁接部位以上高度cm</w:t>
                  </w:r>
                </w:p>
              </w:tc>
              <w:tc>
                <w:tcPr>
                  <w:tcW w:type="dxa" w:w="638"/>
                </w:tcPr>
                <w:p>
                  <w:pPr>
                    <w:pStyle w:val="null3"/>
                  </w:pPr>
                  <w:r>
                    <w:rPr>
                      <w:rFonts w:ascii="仿宋_GB2312" w:hAnsi="仿宋_GB2312" w:cs="仿宋_GB2312" w:eastAsia="仿宋_GB2312"/>
                    </w:rPr>
                    <w:t>≥60</w:t>
                  </w:r>
                </w:p>
              </w:tc>
              <w:tc>
                <w:tcPr>
                  <w:tcW w:type="dxa" w:w="638"/>
                </w:tcPr>
                <w:p>
                  <w:pPr>
                    <w:pStyle w:val="null3"/>
                  </w:pPr>
                  <w:r>
                    <w:rPr>
                      <w:rFonts w:ascii="仿宋_GB2312" w:hAnsi="仿宋_GB2312" w:cs="仿宋_GB2312" w:eastAsia="仿宋_GB2312"/>
                    </w:rPr>
                    <w:t>40-59</w:t>
                  </w:r>
                </w:p>
              </w:tc>
              <w:tc>
                <w:tcPr>
                  <w:tcW w:type="dxa" w:w="638"/>
                  <w:vMerge w:val="restart"/>
                </w:tcPr>
                <w:p>
                  <w:pPr>
                    <w:pStyle w:val="null3"/>
                  </w:pPr>
                  <w:r>
                    <w:rPr>
                      <w:rFonts w:ascii="仿宋_GB2312" w:hAnsi="仿宋_GB2312" w:cs="仿宋_GB2312" w:eastAsia="仿宋_GB2312"/>
                    </w:rPr>
                    <w:t>苗木要充分木质化</w:t>
                  </w:r>
                </w:p>
              </w:tc>
            </w:tr>
            <w:tr>
              <w:tc>
                <w:tcPr>
                  <w:tcW w:type="dxa" w:w="638"/>
                </w:tcPr>
                <w:p>
                  <w:pPr>
                    <w:pStyle w:val="null3"/>
                  </w:pPr>
                  <w:r>
                    <w:rPr>
                      <w:rFonts w:ascii="仿宋_GB2312" w:hAnsi="仿宋_GB2312" w:cs="仿宋_GB2312" w:eastAsia="仿宋_GB2312"/>
                    </w:rPr>
                    <w:t>嫁接处上方直径cm</w:t>
                  </w:r>
                </w:p>
              </w:tc>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0.9-1.1</w:t>
                  </w:r>
                </w:p>
              </w:tc>
              <w:tc>
                <w:tcPr>
                  <w:tcW w:type="dxa" w:w="638"/>
                  <w:vMerge/>
                </w:tcPr>
                <w:p/>
              </w:tc>
            </w:tr>
            <w:tr>
              <w:tc>
                <w:tcPr>
                  <w:tcW w:type="dxa" w:w="638"/>
                </w:tcPr>
                <w:p>
                  <w:pPr>
                    <w:pStyle w:val="null3"/>
                  </w:pPr>
                  <w:r>
                    <w:rPr>
                      <w:rFonts w:ascii="仿宋_GB2312" w:hAnsi="仿宋_GB2312" w:cs="仿宋_GB2312" w:eastAsia="仿宋_GB2312"/>
                    </w:rPr>
                    <w:t>主根长度cm</w:t>
                  </w:r>
                </w:p>
              </w:tc>
              <w:tc>
                <w:tcPr>
                  <w:tcW w:type="dxa" w:w="638"/>
                </w:tcPr>
                <w:p>
                  <w:pPr>
                    <w:pStyle w:val="null3"/>
                  </w:pPr>
                  <w:r>
                    <w:rPr>
                      <w:rFonts w:ascii="仿宋_GB2312" w:hAnsi="仿宋_GB2312" w:cs="仿宋_GB2312" w:eastAsia="仿宋_GB2312"/>
                    </w:rPr>
                    <w:t>≥25</w:t>
                  </w:r>
                </w:p>
              </w:tc>
              <w:tc>
                <w:tcPr>
                  <w:tcW w:type="dxa" w:w="638"/>
                </w:tcPr>
                <w:p>
                  <w:pPr>
                    <w:pStyle w:val="null3"/>
                  </w:pPr>
                  <w:r>
                    <w:rPr>
                      <w:rFonts w:ascii="仿宋_GB2312" w:hAnsi="仿宋_GB2312" w:cs="仿宋_GB2312" w:eastAsia="仿宋_GB2312"/>
                    </w:rPr>
                    <w:t>15-24</w:t>
                  </w:r>
                </w:p>
              </w:tc>
              <w:tc>
                <w:tcPr>
                  <w:tcW w:type="dxa" w:w="638"/>
                  <w:vMerge/>
                </w:tcPr>
                <w:p/>
              </w:tc>
            </w:tr>
            <w:tr>
              <w:tc>
                <w:tcPr>
                  <w:tcW w:type="dxa" w:w="638"/>
                </w:tcPr>
                <w:p>
                  <w:pPr>
                    <w:pStyle w:val="null3"/>
                  </w:pPr>
                  <w:r>
                    <w:rPr>
                      <w:rFonts w:ascii="仿宋_GB2312" w:hAnsi="仿宋_GB2312" w:cs="仿宋_GB2312" w:eastAsia="仿宋_GB2312"/>
                    </w:rPr>
                    <w:t>＞5cm长的Ｉ级侧根条数</w:t>
                  </w:r>
                </w:p>
              </w:tc>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10-14</w:t>
                  </w:r>
                </w:p>
              </w:tc>
              <w:tc>
                <w:tcPr>
                  <w:tcW w:type="dxa" w:w="638"/>
                  <w:vMerge/>
                </w:tcPr>
                <w:p/>
              </w:tc>
            </w:tr>
            <w:tr>
              <w:tc>
                <w:tcPr>
                  <w:tcW w:type="dxa" w:w="638"/>
                </w:tcPr>
                <w:p>
                  <w:pPr>
                    <w:pStyle w:val="null3"/>
                  </w:pPr>
                  <w:r>
                    <w:rPr>
                      <w:rFonts w:ascii="仿宋_GB2312" w:hAnsi="仿宋_GB2312" w:cs="仿宋_GB2312" w:eastAsia="仿宋_GB2312"/>
                    </w:rPr>
                    <w:t>根幅cm</w:t>
                  </w:r>
                </w:p>
              </w:tc>
              <w:tc>
                <w:tcPr>
                  <w:tcW w:type="dxa" w:w="638"/>
                </w:tcPr>
                <w:p>
                  <w:pPr>
                    <w:pStyle w:val="null3"/>
                  </w:pPr>
                  <w:r>
                    <w:rPr>
                      <w:rFonts w:ascii="仿宋_GB2312" w:hAnsi="仿宋_GB2312" w:cs="仿宋_GB2312" w:eastAsia="仿宋_GB2312"/>
                    </w:rPr>
                    <w:t>≥30</w:t>
                  </w:r>
                </w:p>
              </w:tc>
              <w:tc>
                <w:tcPr>
                  <w:tcW w:type="dxa" w:w="638"/>
                </w:tcPr>
                <w:p>
                  <w:pPr>
                    <w:pStyle w:val="null3"/>
                  </w:pPr>
                  <w:r>
                    <w:rPr>
                      <w:rFonts w:ascii="仿宋_GB2312" w:hAnsi="仿宋_GB2312" w:cs="仿宋_GB2312" w:eastAsia="仿宋_GB2312"/>
                    </w:rPr>
                    <w:t>25-29</w:t>
                  </w:r>
                </w:p>
              </w:tc>
              <w:tc>
                <w:tcPr>
                  <w:tcW w:type="dxa" w:w="638"/>
                  <w:vMerge/>
                </w:tcPr>
                <w:p/>
              </w:tc>
            </w:tr>
          </w:tbl>
          <w:p>
            <w:pPr>
              <w:pStyle w:val="null3"/>
            </w:pPr>
            <w:r>
              <w:rPr>
                <w:rFonts w:ascii="仿宋_GB2312" w:hAnsi="仿宋_GB2312" w:cs="仿宋_GB2312" w:eastAsia="仿宋_GB2312"/>
              </w:rPr>
              <w:t>（3）栽植</w:t>
            </w:r>
          </w:p>
          <w:p>
            <w:pPr>
              <w:pStyle w:val="null3"/>
            </w:pPr>
            <w:r>
              <w:rPr>
                <w:rFonts w:ascii="仿宋_GB2312" w:hAnsi="仿宋_GB2312" w:cs="仿宋_GB2312" w:eastAsia="仿宋_GB2312"/>
              </w:rPr>
              <w:t>① 栽植点配置：根据现有果园栽植株行距密度现状选择株间或者偏行间栽植</w:t>
            </w:r>
          </w:p>
          <w:p>
            <w:pPr>
              <w:pStyle w:val="null3"/>
            </w:pPr>
            <w:r>
              <w:rPr>
                <w:rFonts w:ascii="仿宋_GB2312" w:hAnsi="仿宋_GB2312" w:cs="仿宋_GB2312" w:eastAsia="仿宋_GB2312"/>
              </w:rPr>
              <w:t>②栽植方法：最好随起苗随栽植。栽植时要将因起苗造成的伤口修齐。栽时埋土深度以高出原根际土痕3－5cm为宜。</w:t>
            </w:r>
          </w:p>
          <w:p>
            <w:pPr>
              <w:pStyle w:val="null3"/>
            </w:pPr>
            <w:r>
              <w:rPr>
                <w:rFonts w:ascii="仿宋_GB2312" w:hAnsi="仿宋_GB2312" w:cs="仿宋_GB2312" w:eastAsia="仿宋_GB2312"/>
              </w:rPr>
              <w:t>造林全部采用植苗造林方式，其工艺流程为：整地→挖坑→施底肥→蘸泥浆→植苗→覆土→灌水→覆膜。栽植时要严格按照“三埋、二踩、一提苗”的要求进行认真造林。栽植时，在挖好的坑穴内铺设一些腐熟的有机肥或化肥，然后覆一层碎土，配好掺有植物保水剂的泥浆蘸根。栽植时要做到栽端扶正、根系舒展，埋土紧实，不可窝根或露根，覆土稍高于苗木根径5厘米为宜。栽后立即灌足定根水，待水下渗后，覆土保墒，保留15～20厘米的蓄水坑，以利下次灌、蓄水和土壤保墒。</w:t>
            </w:r>
          </w:p>
          <w:p>
            <w:pPr>
              <w:pStyle w:val="null3"/>
            </w:pPr>
            <w:r>
              <w:rPr>
                <w:rFonts w:ascii="仿宋_GB2312" w:hAnsi="仿宋_GB2312" w:cs="仿宋_GB2312" w:eastAsia="仿宋_GB2312"/>
              </w:rPr>
              <w:t>（4）栽后管理</w:t>
            </w:r>
          </w:p>
          <w:p>
            <w:pPr>
              <w:pStyle w:val="null3"/>
            </w:pPr>
            <w:r>
              <w:rPr>
                <w:rFonts w:ascii="仿宋_GB2312" w:hAnsi="仿宋_GB2312" w:cs="仿宋_GB2312" w:eastAsia="仿宋_GB2312"/>
              </w:rPr>
              <w:t>①抹芽:发芽后及时抹除定干高度以下侧芽和砧木萌芽。</w:t>
            </w:r>
          </w:p>
          <w:p>
            <w:pPr>
              <w:pStyle w:val="null3"/>
            </w:pPr>
            <w:r>
              <w:rPr>
                <w:rFonts w:ascii="仿宋_GB2312" w:hAnsi="仿宋_GB2312" w:cs="仿宋_GB2312" w:eastAsia="仿宋_GB2312"/>
              </w:rPr>
              <w:t>②抚育管护:栽植三个月后，就须进行松土、除草、扩盘、施肥管理。</w:t>
            </w:r>
          </w:p>
          <w:p>
            <w:pPr>
              <w:pStyle w:val="null3"/>
            </w:pPr>
            <w:r>
              <w:rPr>
                <w:rFonts w:ascii="仿宋_GB2312" w:hAnsi="仿宋_GB2312" w:cs="仿宋_GB2312" w:eastAsia="仿宋_GB2312"/>
              </w:rPr>
              <w:t>③秋季补植: 2026年秋季未成活的苗木，选择优质苗木及时补植。</w:t>
            </w:r>
          </w:p>
          <w:p>
            <w:pPr>
              <w:pStyle w:val="null3"/>
            </w:pPr>
            <w:r>
              <w:rPr>
                <w:rFonts w:ascii="仿宋_GB2312" w:hAnsi="仿宋_GB2312" w:cs="仿宋_GB2312" w:eastAsia="仿宋_GB2312"/>
              </w:rPr>
              <w:t>④幼树防寒:当年越冬前进行堆土和树杆涂白防冻。。</w:t>
            </w:r>
          </w:p>
          <w:p>
            <w:pPr>
              <w:pStyle w:val="null3"/>
            </w:pPr>
            <w:r>
              <w:rPr>
                <w:rFonts w:ascii="仿宋_GB2312" w:hAnsi="仿宋_GB2312" w:cs="仿宋_GB2312" w:eastAsia="仿宋_GB2312"/>
              </w:rPr>
              <w:t>⑤定杆：苗木萌芽后，即可定杆，定杆高度参见整形修剪部分。剪口距芽的距离应保持2cm左右，定杆后要注意剪口涂漆。</w:t>
            </w:r>
          </w:p>
          <w:p>
            <w:pPr>
              <w:pStyle w:val="null3"/>
            </w:pPr>
            <w:r>
              <w:rPr>
                <w:rFonts w:ascii="仿宋_GB2312" w:hAnsi="仿宋_GB2312" w:cs="仿宋_GB2312" w:eastAsia="仿宋_GB2312"/>
              </w:rPr>
              <w:t>（5）幼树及结果初期核树的管理</w:t>
            </w:r>
          </w:p>
          <w:p>
            <w:pPr>
              <w:pStyle w:val="null3"/>
            </w:pPr>
            <w:r>
              <w:rPr>
                <w:rFonts w:ascii="仿宋_GB2312" w:hAnsi="仿宋_GB2312" w:cs="仿宋_GB2312" w:eastAsia="仿宋_GB2312"/>
              </w:rPr>
              <w:t>花椒结果初期，树体处于营养生长大于生殖生长阶段，此阶段生长发育的好坏，直接影响着树形的形成和产量的提高。为了保证树体正常发育，防止发生“小老树”或枯死现象，并为以后的丰产稳产奠定良好基础。因此，建园以后，应加强对花椒幼树的综合管理。</w:t>
            </w:r>
          </w:p>
          <w:p>
            <w:pPr>
              <w:pStyle w:val="null3"/>
            </w:pPr>
            <w:r>
              <w:rPr>
                <w:rFonts w:ascii="仿宋_GB2312" w:hAnsi="仿宋_GB2312" w:cs="仿宋_GB2312" w:eastAsia="仿宋_GB2312"/>
              </w:rPr>
              <w:t>2、整形修剪</w:t>
            </w:r>
          </w:p>
          <w:p>
            <w:pPr>
              <w:pStyle w:val="null3"/>
            </w:pPr>
            <w:r>
              <w:rPr>
                <w:rFonts w:ascii="仿宋_GB2312" w:hAnsi="仿宋_GB2312" w:cs="仿宋_GB2312" w:eastAsia="仿宋_GB2312"/>
              </w:rPr>
              <w:t>整形树形以自然开心形和多主枝丛状形为主。</w:t>
            </w:r>
          </w:p>
          <w:p>
            <w:pPr>
              <w:pStyle w:val="null3"/>
            </w:pPr>
            <w:r>
              <w:rPr>
                <w:rFonts w:ascii="仿宋_GB2312" w:hAnsi="仿宋_GB2312" w:cs="仿宋_GB2312" w:eastAsia="仿宋_GB2312"/>
              </w:rPr>
              <w:t>（1）老龄树的修剪：首先清除病虫枝、枯干枝，然后疏除内向枝、交叉枝、重叠枝，过密细弱枝，更新、回缩复壮衰老结果枝组，充分利用徒长枝，补充残缺树冠，保持适当地结果面积，短截重点部位发育枝，恢复树势。</w:t>
            </w:r>
          </w:p>
          <w:p>
            <w:pPr>
              <w:pStyle w:val="null3"/>
            </w:pPr>
            <w:r>
              <w:rPr>
                <w:rFonts w:ascii="仿宋_GB2312" w:hAnsi="仿宋_GB2312" w:cs="仿宋_GB2312" w:eastAsia="仿宋_GB2312"/>
              </w:rPr>
              <w:t>（2）成年结果椒树的修剪：结果树修剪时，以维持树势健壮，调节花量为主。枝条密挤时以疏为主，疏上缓下，疏除影响光照的多余大枝，保持良好的通风透光条件。对过密、细弱、交叉、徒长或及病虫枝，也要及时疏除，使冠内枝组健壮、均衡，通风透光。注意留枝均匀，后部不要光秃。</w:t>
            </w:r>
          </w:p>
          <w:p>
            <w:pPr>
              <w:pStyle w:val="null3"/>
            </w:pPr>
            <w:r>
              <w:rPr>
                <w:rFonts w:ascii="仿宋_GB2312" w:hAnsi="仿宋_GB2312" w:cs="仿宋_GB2312" w:eastAsia="仿宋_GB2312"/>
              </w:rPr>
              <w:t>（3） 修剪时间：休眠期修剪在落叶后至萌芽前完成，弱树早剪，幼旺树可适当推迟，修剪时，注意把干枯枝、过密枝、病虫枝首先剪掉，对病虫枝进行集中烧毁，是防治花椒树腐烂病、叶锈病、根腐病、吉丁虫、瘿蚊和红胫跳甲的有力措施。</w:t>
            </w:r>
          </w:p>
          <w:p>
            <w:pPr>
              <w:pStyle w:val="null3"/>
            </w:pPr>
            <w:r>
              <w:rPr>
                <w:rFonts w:ascii="仿宋_GB2312" w:hAnsi="仿宋_GB2312" w:cs="仿宋_GB2312" w:eastAsia="仿宋_GB2312"/>
              </w:rPr>
              <w:t>3、土肥水管理</w:t>
            </w:r>
          </w:p>
          <w:p>
            <w:pPr>
              <w:pStyle w:val="null3"/>
            </w:pPr>
            <w:r>
              <w:rPr>
                <w:rFonts w:ascii="仿宋_GB2312" w:hAnsi="仿宋_GB2312" w:cs="仿宋_GB2312" w:eastAsia="仿宋_GB2312"/>
              </w:rPr>
              <w:t>（1）土壤管理。每年秋季花椒采摘后，结合施肥对椒园进行深翻；花椒园行间试验示范铺设黑色园艺地布，除草保墒；生长季坚持“有草必锄、雨后必锄、浇后必锄”。生长期内松土除草3次，第一次在杂草发芽不久的早春，第二次在麦收前后，第三次在采椒后。</w:t>
            </w:r>
          </w:p>
          <w:p>
            <w:pPr>
              <w:pStyle w:val="null3"/>
            </w:pPr>
            <w:r>
              <w:rPr>
                <w:rFonts w:ascii="仿宋_GB2312" w:hAnsi="仿宋_GB2312" w:cs="仿宋_GB2312" w:eastAsia="仿宋_GB2312"/>
              </w:rPr>
              <w:t>（2）根外施肥。在花椒开花坐果期及果实膨大期，难以用土壤施肥时，采用叶面喷肥可大大提高产量。</w:t>
            </w:r>
          </w:p>
          <w:p>
            <w:pPr>
              <w:pStyle w:val="null3"/>
            </w:pPr>
            <w:r>
              <w:rPr>
                <w:rFonts w:ascii="仿宋_GB2312" w:hAnsi="仿宋_GB2312" w:cs="仿宋_GB2312" w:eastAsia="仿宋_GB2312"/>
              </w:rPr>
              <w:t>（3）施基肥。通常以施迟效性的有机肥料为主，主要分为农家肥和商品有机肥等。</w:t>
            </w:r>
          </w:p>
          <w:p>
            <w:pPr>
              <w:pStyle w:val="null3"/>
            </w:pPr>
            <w:r>
              <w:rPr>
                <w:rFonts w:ascii="仿宋_GB2312" w:hAnsi="仿宋_GB2312" w:cs="仿宋_GB2312" w:eastAsia="仿宋_GB2312"/>
              </w:rPr>
              <w:t>（4）追肥：花蕾形成期和花椒成熟前一个半月适时追肥，前期以速效性氮肥为主。</w:t>
            </w:r>
          </w:p>
          <w:p>
            <w:pPr>
              <w:pStyle w:val="null3"/>
            </w:pPr>
            <w:r>
              <w:rPr>
                <w:rFonts w:ascii="仿宋_GB2312" w:hAnsi="仿宋_GB2312" w:cs="仿宋_GB2312" w:eastAsia="仿宋_GB2312"/>
              </w:rPr>
              <w:t>（5）水分管理：采取修筑树盘、地面覆盖，“穴储肥水”等浇水技术，蓄水保墒。有条件的采取滴灌、喷灌等，保证花芽分化期、果实膨大期和秋冬季三次灌水，确保树势健壮，为来年丰产奠定基础。</w:t>
            </w:r>
          </w:p>
          <w:p>
            <w:pPr>
              <w:pStyle w:val="null3"/>
            </w:pPr>
            <w:r>
              <w:rPr>
                <w:rFonts w:ascii="仿宋_GB2312" w:hAnsi="仿宋_GB2312" w:cs="仿宋_GB2312" w:eastAsia="仿宋_GB2312"/>
              </w:rPr>
              <w:t>4、花椒病虫害综合防治技术</w:t>
            </w:r>
          </w:p>
          <w:p>
            <w:pPr>
              <w:pStyle w:val="null3"/>
            </w:pPr>
            <w:r>
              <w:rPr>
                <w:rFonts w:ascii="仿宋_GB2312" w:hAnsi="仿宋_GB2312" w:cs="仿宋_GB2312" w:eastAsia="仿宋_GB2312"/>
              </w:rPr>
              <w:t>（1）防治原则</w:t>
            </w:r>
          </w:p>
          <w:p>
            <w:pPr>
              <w:pStyle w:val="null3"/>
            </w:pPr>
            <w:r>
              <w:rPr>
                <w:rFonts w:ascii="仿宋_GB2312" w:hAnsi="仿宋_GB2312" w:cs="仿宋_GB2312" w:eastAsia="仿宋_GB2312"/>
              </w:rPr>
              <w:t>花椒病虫害防治坚持“预防为主，科学防控，依法治理，促进健康”的原则，以农业防治为基础，综合运用物理、生物、化学防治，合理使用化学农药，经济、安全、有效地控制病虫害。</w:t>
            </w:r>
          </w:p>
          <w:p>
            <w:pPr>
              <w:pStyle w:val="null3"/>
            </w:pPr>
            <w:r>
              <w:rPr>
                <w:rFonts w:ascii="仿宋_GB2312" w:hAnsi="仿宋_GB2312" w:cs="仿宋_GB2312" w:eastAsia="仿宋_GB2312"/>
              </w:rPr>
              <w:t>病虫危害防治时，要做好病虫危害调查，进行科学防治。根据病虫害的发生、发展动态，提出预报和最佳防治时间,同时注意保护和利用天敌,及时调整施药期和施药量。农药的安全使用严格按照GB/T 8321 和NY/T 1276等相关技术要求执行。</w:t>
            </w:r>
          </w:p>
          <w:p>
            <w:pPr>
              <w:pStyle w:val="null3"/>
            </w:pPr>
            <w:r>
              <w:rPr>
                <w:rFonts w:ascii="仿宋_GB2312" w:hAnsi="仿宋_GB2312" w:cs="仿宋_GB2312" w:eastAsia="仿宋_GB2312"/>
              </w:rPr>
              <w:t>（2）花椒病虫防治的主要方法</w:t>
            </w:r>
          </w:p>
          <w:p>
            <w:pPr>
              <w:pStyle w:val="null3"/>
            </w:pPr>
            <w:r>
              <w:rPr>
                <w:rFonts w:ascii="仿宋_GB2312" w:hAnsi="仿宋_GB2312" w:cs="仿宋_GB2312" w:eastAsia="仿宋_GB2312"/>
              </w:rPr>
              <w:t>①植物检疫：加强检疫工作，从源头上防止减少花椒病虫危害尤其是吹绵蚧等危险性病虫的危害。</w:t>
            </w:r>
          </w:p>
          <w:p>
            <w:pPr>
              <w:pStyle w:val="null3"/>
            </w:pPr>
            <w:r>
              <w:rPr>
                <w:rFonts w:ascii="仿宋_GB2312" w:hAnsi="仿宋_GB2312" w:cs="仿宋_GB2312" w:eastAsia="仿宋_GB2312"/>
              </w:rPr>
              <w:t>②清园防治：在花椒生产中，选用抗病虫良种，合理栽植，加强肥水管理，结合修剪翻耕施肥等，春季萌芽前、秋季落叶后封冻前，清理枯枝落叶，刮除老翘树皮，掩埋或焚烧；全园喷施3～5波美度石硫合剂或其他高效低毒清园药剂等农业措施减少和降低病虫害的发生及危害程度。</w:t>
            </w:r>
          </w:p>
          <w:p>
            <w:pPr>
              <w:pStyle w:val="null3"/>
            </w:pPr>
            <w:r>
              <w:rPr>
                <w:rFonts w:ascii="仿宋_GB2312" w:hAnsi="仿宋_GB2312" w:cs="仿宋_GB2312" w:eastAsia="仿宋_GB2312"/>
              </w:rPr>
              <w:t>③物理防治：利用害虫的特殊趋性或习性，采用人工清除扑杀，树干涂白，设置阻隔物，灯光、毒饵诱杀等物理机械方法防治害虫。</w:t>
            </w:r>
          </w:p>
          <w:p>
            <w:pPr>
              <w:pStyle w:val="null3"/>
            </w:pPr>
            <w:r>
              <w:rPr>
                <w:rFonts w:ascii="仿宋_GB2312" w:hAnsi="仿宋_GB2312" w:cs="仿宋_GB2312" w:eastAsia="仿宋_GB2312"/>
              </w:rPr>
              <w:t>④生物防治：保护和利用自然天敌，如瓢虫、鸟类、寄生蜂等，采用白僵菌、苏云金杆菌等生物制剂对害虫进行防治。</w:t>
            </w:r>
          </w:p>
          <w:p>
            <w:pPr>
              <w:pStyle w:val="null3"/>
            </w:pPr>
            <w:r>
              <w:rPr>
                <w:rFonts w:ascii="仿宋_GB2312" w:hAnsi="仿宋_GB2312" w:cs="仿宋_GB2312" w:eastAsia="仿宋_GB2312"/>
              </w:rPr>
              <w:t>⑤化学防治：采用高效低毒低残留农药，交替用药，严格按照产品说明及农药使用准则执行，严禁使用高毒高残留等禁限用农药。</w:t>
            </w:r>
          </w:p>
          <w:p>
            <w:pPr>
              <w:pStyle w:val="null3"/>
            </w:pPr>
            <w:r>
              <w:rPr>
                <w:rFonts w:ascii="仿宋_GB2312" w:hAnsi="仿宋_GB2312" w:cs="仿宋_GB2312" w:eastAsia="仿宋_GB2312"/>
              </w:rPr>
              <w:t>（3）花椒树主要病虫害防治方法</w:t>
            </w:r>
          </w:p>
          <w:p>
            <w:pPr>
              <w:pStyle w:val="null3"/>
            </w:pPr>
            <w:r>
              <w:rPr>
                <w:rFonts w:ascii="仿宋_GB2312" w:hAnsi="仿宋_GB2312" w:cs="仿宋_GB2312" w:eastAsia="仿宋_GB2312"/>
              </w:rPr>
              <w:t>①叶锈病。主要危害叶片，高湿的夏秋季容易发病，发病初期椒叶面部呈圆形淡黄色病斑，以后病斑颜色逐渐加深呈黄褐色并有粉末状橙红色孢子产生。防治方法：６～８月喷施15%的粉锈宁可湿性粉剂1000～1500倍液，或10%世高水分散颗粒剂4000～5000倍液防控。冬季结合修剪将落叶和树冠下的杂草铲除烧毁，同时喷洒3～5度石硫合剂。</w:t>
            </w:r>
          </w:p>
          <w:p>
            <w:pPr>
              <w:pStyle w:val="null3"/>
            </w:pPr>
            <w:r>
              <w:rPr>
                <w:rFonts w:ascii="仿宋_GB2312" w:hAnsi="仿宋_GB2312" w:cs="仿宋_GB2312" w:eastAsia="仿宋_GB2312"/>
              </w:rPr>
              <w:t>②根腐病。花椒幼苗，成年椒树染病后，地下根部呈水肿状，根皮易脱落，并有异臭味。防治方法：⑴苗圃地应选择排水良好的沙质土地，苗床应做高厢，并注意排水。禁止在有根腐病的土壤内育苗。⑵苗期多施磷钾肥、增强苗木抗病能力。⑶发现成年椒树染根腐病后，应及时剪除病根，剪口处涂以石硫合剂消毒，并施以草木灰。</w:t>
            </w:r>
          </w:p>
          <w:p>
            <w:pPr>
              <w:pStyle w:val="null3"/>
            </w:pPr>
            <w:r>
              <w:rPr>
                <w:rFonts w:ascii="仿宋_GB2312" w:hAnsi="仿宋_GB2312" w:cs="仿宋_GB2312" w:eastAsia="仿宋_GB2312"/>
              </w:rPr>
              <w:t>③花椒虎天牛。一般６～７月为成虫盛发期，此期选择晴天无风的下午进行人工捕捉成虫；５～８月适时进行检查，一旦发现虫卵粒和幼虫应及时刮除杀死。药剂防治每年３～１１月可采取以下方法：⑴将敌敌畏、煤油按1:20比例混合涂抹受害树皮及其周缘处，对三龄幼虫药杀效果可达100%。⑵用马拉硫磷45%乳油1000倍溶液涂抹树干基部，可杀死皮下低龄幼虫。⑶用1:2500倍敌杀死溶液喷洒椒树触杀成虫。⑷成虫蛀入树干的，可采用棉球蘸粘敌敌畏液塞入洞孔内，再用稀泥堵塞窒息。使用敌敌畏煤油液涂抹树干时，注意不能全干涂抹，否则会发生严重药害。</w:t>
            </w:r>
          </w:p>
          <w:p>
            <w:pPr>
              <w:pStyle w:val="null3"/>
            </w:pPr>
            <w:r>
              <w:rPr>
                <w:rFonts w:ascii="仿宋_GB2312" w:hAnsi="仿宋_GB2312" w:cs="仿宋_GB2312" w:eastAsia="仿宋_GB2312"/>
              </w:rPr>
              <w:t>④蚜虫。主要危害树叶。防治方法是：落叶后彻底清园，消除越冬场所，每年４月中旬用10%吡虫啉可湿性粉剂2500倍液喷雾，或用1:4:500“尿洗”合剂喷雾，防效均可达95％。</w:t>
            </w:r>
          </w:p>
          <w:p>
            <w:pPr>
              <w:pStyle w:val="null3"/>
            </w:pPr>
            <w:r>
              <w:rPr>
                <w:rFonts w:ascii="仿宋_GB2312" w:hAnsi="仿宋_GB2312" w:cs="仿宋_GB2312" w:eastAsia="仿宋_GB2312"/>
              </w:rPr>
              <w:t>⑤花椒介壳虫。３月上旬用石硫合剂全园清园，杀死越冬蚧壳虫卵；５月下旬和８月下旬若虫分散期用22.4%螺虫乙酯悬浮剂3000倍液，或40%亚胺硫磷1000倍液喷洒花椒树干２～３次。</w:t>
            </w:r>
          </w:p>
          <w:p>
            <w:pPr>
              <w:pStyle w:val="null3"/>
            </w:pPr>
            <w:r>
              <w:rPr>
                <w:rFonts w:ascii="仿宋_GB2312" w:hAnsi="仿宋_GB2312" w:cs="仿宋_GB2312" w:eastAsia="仿宋_GB2312"/>
              </w:rPr>
              <w:t>⑥花椒潜叶甲。椒农称为“火风”，４月下旬椒树芽初放时可进行防治。4月上旬，每亩地面喷洒2%辛硫磷粉剂250克；花椒展叶期喷施40%水胺硫磷1000倍液2～3次；花椒谢花后，立即喷洒１次吡虫啉70%乳油7000～8000倍溶液，10天后再喷洒１次，防止幼虫转移危害。</w:t>
            </w:r>
          </w:p>
          <w:p>
            <w:pPr>
              <w:pStyle w:val="null3"/>
            </w:pPr>
            <w:r>
              <w:rPr>
                <w:rFonts w:ascii="仿宋_GB2312" w:hAnsi="仿宋_GB2312" w:cs="仿宋_GB2312" w:eastAsia="仿宋_GB2312"/>
              </w:rPr>
              <w:t>⑦花椒窄吉丁虫。一是及时清除销毁枯死木、频死木和干枝，二是4～6月，幼虫活动期，锤击流胶部位，刮除胶斑，涂抹48%乐斯本乳油10倍液或2.5%功夫乳油50倍液等。6三是～7月成虫羽化及幼虫孵化盛期，喷施2.5%的溴氰菊酯乳油1500-2000倍液，或90%敌百虫晶体、50%杀螟松乳油1000倍液等农药，1次/7天，连续2～3次。</w:t>
            </w:r>
          </w:p>
          <w:p>
            <w:pPr>
              <w:pStyle w:val="null3"/>
            </w:pPr>
            <w:r>
              <w:rPr>
                <w:rFonts w:ascii="仿宋_GB2312" w:hAnsi="仿宋_GB2312" w:cs="仿宋_GB2312" w:eastAsia="仿宋_GB2312"/>
              </w:rPr>
              <w:t>5、花椒冻害预防</w:t>
            </w:r>
          </w:p>
          <w:p>
            <w:pPr>
              <w:pStyle w:val="null3"/>
            </w:pPr>
            <w:r>
              <w:rPr>
                <w:rFonts w:ascii="仿宋_GB2312" w:hAnsi="仿宋_GB2312" w:cs="仿宋_GB2312" w:eastAsia="仿宋_GB2312"/>
              </w:rPr>
              <w:t>（1）加强田间管理，采收后和生长后期及时施肥，控制好氮肥的使用量，增施磷钾肥，做好病虫害的防治工作，增强树势。</w:t>
            </w:r>
          </w:p>
          <w:p>
            <w:pPr>
              <w:pStyle w:val="null3"/>
            </w:pPr>
            <w:r>
              <w:rPr>
                <w:rFonts w:ascii="仿宋_GB2312" w:hAnsi="仿宋_GB2312" w:cs="仿宋_GB2312" w:eastAsia="仿宋_GB2312"/>
              </w:rPr>
              <w:t>（2）春秋季结合清园树干防冻；树体喷洒防冻剂1.00%～1.25%溶液预防冻害。</w:t>
            </w:r>
          </w:p>
          <w:p>
            <w:pPr>
              <w:pStyle w:val="null3"/>
            </w:pPr>
            <w:r>
              <w:rPr>
                <w:rFonts w:ascii="仿宋_GB2312" w:hAnsi="仿宋_GB2312" w:cs="仿宋_GB2312" w:eastAsia="仿宋_GB2312"/>
              </w:rPr>
              <w:t>（3）早春注意天气预报，晚霜或春寒来之前，喷施果树花芽防冻剂；设置生烟坑，椒园气温降至3℃以下时，田间堆草或烟雾剂熏烟预防。</w:t>
            </w:r>
          </w:p>
          <w:p>
            <w:pPr>
              <w:pStyle w:val="null3"/>
            </w:pPr>
            <w:r>
              <w:rPr>
                <w:rFonts w:ascii="仿宋_GB2312" w:hAnsi="仿宋_GB2312" w:cs="仿宋_GB2312" w:eastAsia="仿宋_GB2312"/>
              </w:rPr>
              <w:t>（4）发生冻害后尽快采取补救措施，及时灌水或者喷施叶面肥、生长调节剂等，保证前期的水分充足，补给养分，促进树势的恢复；萌芽前后剪去受冻而枯死的树梢，剪后伤口及时涂抹保护剂，减少水分蒸发，防止病虫侵害，增强树体的抗逆性。</w:t>
            </w:r>
          </w:p>
          <w:p>
            <w:pPr>
              <w:pStyle w:val="null3"/>
            </w:pPr>
            <w:r>
              <w:rPr>
                <w:rFonts w:ascii="仿宋_GB2312" w:hAnsi="仿宋_GB2312" w:cs="仿宋_GB2312" w:eastAsia="仿宋_GB2312"/>
              </w:rPr>
              <w:t>（6）简易浇水设施</w:t>
            </w:r>
          </w:p>
          <w:p>
            <w:pPr>
              <w:pStyle w:val="null3"/>
            </w:pPr>
            <w:r>
              <w:rPr>
                <w:rFonts w:ascii="仿宋_GB2312" w:hAnsi="仿宋_GB2312" w:cs="仿宋_GB2312" w:eastAsia="仿宋_GB2312"/>
              </w:rPr>
              <w:t>充分利用水源，配置增压设备，在花椒园铺设管道，每块台田预留出水口，在春旱、伏旱灾害发生时及时补充土壤水分，促进花椒坐果和膨大，提高产量品质。精准的水肥供应能满足花椒生长需求，提高花椒的坐果率和果实品质，预计产量可提高15%-20%，果实色泽、麻味等品质指标也能得到显著提升。并减少了水肥的浪费和流失，降低了对土壤、水源等环境的污染，保护生态环境。</w:t>
            </w:r>
          </w:p>
          <w:p>
            <w:pPr>
              <w:pStyle w:val="null3"/>
            </w:pPr>
            <w:r>
              <w:rPr>
                <w:rFonts w:ascii="仿宋_GB2312" w:hAnsi="仿宋_GB2312" w:cs="仿宋_GB2312" w:eastAsia="仿宋_GB2312"/>
              </w:rPr>
              <w:t>1、浇水设施地点</w:t>
            </w:r>
          </w:p>
          <w:p>
            <w:pPr>
              <w:pStyle w:val="null3"/>
            </w:pPr>
            <w:r>
              <w:rPr>
                <w:rFonts w:ascii="仿宋_GB2312" w:hAnsi="仿宋_GB2312" w:cs="仿宋_GB2312" w:eastAsia="仿宋_GB2312"/>
              </w:rPr>
              <w:t>浇水设施地点：阳郭镇张胡村，该村花椒园附近水源充足，有现成的简易蓄水池，面向东部的坡台地逐级铺设管道，条件较好，有利于建设水肥一体化示范园。首先对花椒园进行土壤检测，了解土壤养分状况及水分保持能力，根据花椒树的品种、生长年限、生长状况等，合理确定水份需求。</w:t>
            </w:r>
          </w:p>
          <w:p>
            <w:pPr>
              <w:pStyle w:val="null3"/>
            </w:pPr>
            <w:r>
              <w:rPr>
                <w:rFonts w:ascii="仿宋_GB2312" w:hAnsi="仿宋_GB2312" w:cs="仿宋_GB2312" w:eastAsia="仿宋_GB2312"/>
              </w:rPr>
              <w:t>2、浇水灌溉系统</w:t>
            </w:r>
          </w:p>
          <w:p>
            <w:pPr>
              <w:pStyle w:val="null3"/>
            </w:pPr>
            <w:r>
              <w:rPr>
                <w:rFonts w:ascii="仿宋_GB2312" w:hAnsi="仿宋_GB2312" w:cs="仿宋_GB2312" w:eastAsia="仿宋_GB2312"/>
              </w:rPr>
              <w:t>结合坡台地，地形地貌以长方形为主，微缓坡的形式，拟采取节水灌溉的方式，确保水分均匀分布。浇水管道材质选用HDPE管+PE管的形式，长方形布局，确保管道覆盖整个花椒园，并合理设置出水口。在主管道处安装水表、过滤器等设备，确保水质清洁，流量可控。</w:t>
            </w:r>
          </w:p>
          <w:p>
            <w:pPr>
              <w:pStyle w:val="null3"/>
            </w:pPr>
            <w:r>
              <w:rPr>
                <w:rFonts w:ascii="仿宋_GB2312" w:hAnsi="仿宋_GB2312" w:cs="仿宋_GB2312" w:eastAsia="仿宋_GB2312"/>
              </w:rPr>
              <w:t>3、控制系统实施</w:t>
            </w:r>
          </w:p>
          <w:p>
            <w:pPr>
              <w:pStyle w:val="null3"/>
            </w:pPr>
            <w:r>
              <w:rPr>
                <w:rFonts w:ascii="仿宋_GB2312" w:hAnsi="仿宋_GB2312" w:cs="仿宋_GB2312" w:eastAsia="仿宋_GB2312"/>
              </w:rPr>
              <w:t>采用智能化控制系统，实现远程监控和操作。根据花椒园不同生长阶段的水肥供应计划，根据天气、土壤湿度等因素自动调整水肥供应。安装传感器，实时监测土壤湿度、温度等数据，为控制系统提供数据支持。</w:t>
            </w:r>
          </w:p>
          <w:p>
            <w:pPr>
              <w:pStyle w:val="null3"/>
            </w:pPr>
            <w:r>
              <w:rPr>
                <w:rFonts w:ascii="仿宋_GB2312" w:hAnsi="仿宋_GB2312" w:cs="仿宋_GB2312" w:eastAsia="仿宋_GB2312"/>
              </w:rPr>
              <w:t>4、操作管理</w:t>
            </w:r>
          </w:p>
          <w:p>
            <w:pPr>
              <w:pStyle w:val="null3"/>
            </w:pPr>
            <w:r>
              <w:rPr>
                <w:rFonts w:ascii="仿宋_GB2312" w:hAnsi="仿宋_GB2312" w:cs="仿宋_GB2312" w:eastAsia="仿宋_GB2312"/>
              </w:rPr>
              <w:t>落实人员，定期对系统进行巡查和维护，确保设备正常运行。定期对水质进行检测和过滤，防止管道堵塞。对智能化控制系统进行定期升级和维护，确保其稳定运行。</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1、在服务范围内按工作内容和要求制定详细的方案，方案科学、合理、可靠。</w:t>
            </w:r>
          </w:p>
          <w:p>
            <w:pPr>
              <w:pStyle w:val="null3"/>
            </w:pPr>
            <w:r>
              <w:rPr>
                <w:rFonts w:ascii="仿宋_GB2312" w:hAnsi="仿宋_GB2312" w:cs="仿宋_GB2312" w:eastAsia="仿宋_GB2312"/>
              </w:rPr>
              <w:t>2、人员配备合理。有针对本项目的专项项目小组，项目负责人、工作人员分工明确（应有具体成员名单，包括姓名、工作职责等）</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自合同签订之日起到2026年10月底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的每一项工序完成后，须向采购人提出申请，经采购人负责人员验收合格后，方可进行下一道工序工作。供应商全面完成项目建设任务后单位要及时组织自查，并向采购人提交自查报告，采购人对自查报告进行审核，审核内容包括：实施方案执行、任务完成情况、施工作业质量、资金使用情况及项目成效、存在问题与建议等。 验收标准：按招标文件、投标文件及澄清函、项目检查情况等综合指标进行验收。各项指标均应符合验收标准及要求。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采购人根据项目进度情况支付项目进度款，项目任务全部完成且验收合格后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 （二）因供应商原因造成服务期延误（自然灾害等不可抗力除外），采购人有权从未付款项中按每日0.5‰合同价款扣除违约金，此违约以30日为限；若采购人未按约定时间付款，则供应商有权按每日0.5‰合同价款收取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中标(成交)供应商在中标(成交)结果公告发布后3个工作日内提供参套纸质投标文件(经编标工具生成的文件直接打印并加盖公章)，递交的纸质版文件内容确保与线上电子文件保持一致，不允许修改和补充。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③社会保障资金缴纳证明：提供投标文件递交截止时间前一年内任意一个月的社保缴费凭据或社保机构开具的社会保险参保缴费情况证明（依法不需要缴纳社会保障资金的供应商应提供相关证明）；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及严重违法失信企业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项目负责人需具备林业类或园林类等相关专业中级及以上职称</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技术方案.docx 服务内容及服务邀请应答表 中小企业声明函 商务应答表 政府采购供应商拒绝政府采购领域商业贿赂承诺书.docx 分项报价表.docx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技术方案.docx 服务内容及服务邀请应答表 中小企业声明函 商务应答表 政府采购供应商拒绝政府采购领域商业贿赂承诺书.docx 分项报价表.docx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技术方案.docx 服务内容及服务邀请应答表 中小企业声明函 商务应答表 政府采购供应商拒绝政府采购领域商业贿赂承诺书.docx 分项报价表.docx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技术方案.docx 服务内容及服务邀请应答表 中小企业声明函 商务应答表 政府采购供应商拒绝政府采购领域商业贿赂承诺书.docx 分项报价表.docx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评审内容包含：①项目理解；②项目重点、难点分析； 赋分标准（8分）：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包含：①服务目标；②服务计划；③服务方案；④项目安全服务方案；赋分标准（16分）：每项评审内容不存在缺陷得4分，满分16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包含：①服务质量保障措施；②服务质量标准；③保证人员按时到岗措施。赋分标准（12分）：每项评审内容不存在缺陷得4分，满分12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评审内容包含：①各阶段进度控制措施；②进度控制保证措施。赋分标准（8分）：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包含：①突发事件识别；②应急情况处理措施；③突发事件应急人员安排。赋分标准（12分）：每项评审内容不存在缺陷得4分，满分12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人员培训计划</w:t>
            </w:r>
          </w:p>
        </w:tc>
        <w:tc>
          <w:tcPr>
            <w:tcW w:type="dxa" w:w="2492"/>
          </w:tcPr>
          <w:p>
            <w:pPr>
              <w:pStyle w:val="null3"/>
            </w:pPr>
            <w:r>
              <w:rPr>
                <w:rFonts w:ascii="仿宋_GB2312" w:hAnsi="仿宋_GB2312" w:cs="仿宋_GB2312" w:eastAsia="仿宋_GB2312"/>
              </w:rPr>
              <w:t>评审内容包含：①培训计划制定；②专业技能培训；赋分标准（8分）：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针对本项目，提供详细具体可行的服务措施承诺，每提出一项得1分，最高得5分。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1、服务团队： ①实施团队人员配备7人及以上得6分； ②实施团队人员配备4-6人得4分； ③实施团队人员配备1-3人得2分。 需提供佐证材料，包括但不限于身份证、毕业证、岗位证等，本项最高得6分，未提供不得分。 2、服务团队人员（不包含项目负责人）每具有一个中级职称得1分，高级职称得2分，本项最多得2分，需提供佐证材料，未提供不得分。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供应商具有（2022年1月至今）的类似业绩（按合同签订时间计算）每个计1分，最多计3分。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满足招标文件要求且最后报价最低的供应商的价格为基准价得20分，其他各供应商的最后报价得分按下列公式计算： 投标报价得分=（投标基准价/投标报价）×20%×100。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