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2F05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技术、服务、合同条款及其他商务要求应答表</w:t>
      </w:r>
    </w:p>
    <w:tbl>
      <w:tblPr>
        <w:tblStyle w:val="3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5391"/>
        <w:gridCol w:w="1370"/>
        <w:gridCol w:w="897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bookmarkStart w:id="0" w:name="_GoBack" w:colFirst="1" w:colLast="1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  <w:t>技术参数与性能指标：主要建设内容为项目占地面积416.50平方米，新建地上二层加工厂房一座，建筑面积407.82平方米，室外工程及配套相关设备。（详见工程量清单）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0210CC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>采购包1：满足国家相关标准、行业标准、地方标准或者其他标准、规范标准。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工期：90日历天。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工程地点：临渭区桥南镇。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  <w:t xml:space="preserve">质量标准：合格，达到国家现行技术标准。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  <w:t>付款方式：付款方式：1、付款条件说明：本工程付款依据工程进度情况按比例将进度应付款支付给供应商。工程完工后，达到付款条件起 10 日内，支付合同总金额的90.00%；2、付款条件说明: 本工程竣工验收后需要进行结算审计，最终的结算审定金额为本工程的最终合同价款；工程竣工验收合格后采购人付清全部合同价款。</w:t>
            </w: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bookmarkEnd w:id="0"/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7B85D0E5">
      <w:pPr>
        <w:pStyle w:val="2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3BA151C3">
      <w:pPr>
        <w:jc w:val="right"/>
        <w:rPr>
          <w:rFonts w:hint="eastAsia"/>
          <w:b/>
          <w:bCs/>
          <w:sz w:val="32"/>
          <w:szCs w:val="40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20A2B"/>
    <w:rsid w:val="2DF5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679</Words>
  <Characters>709</Characters>
  <Lines>0</Lines>
  <Paragraphs>0</Paragraphs>
  <TotalTime>22</TotalTime>
  <ScaleCrop>false</ScaleCrop>
  <LinksUpToDate>false</LinksUpToDate>
  <CharactersWithSpaces>729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2025-09-24T12:43:00Z</dcterms:created>
  <dc:creator>msi</dc:creator>
  <cp:lastModifiedBy>WPS_1730446345</cp:lastModifiedBy>
  <dcterms:modified xsi:type="dcterms:W3CDTF">2025-10-17T01:16:43Z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1D9DED6473C94D45A7E0FB341CC21FD1_12</vt:lpwstr>
  </property>
</Properties>
</file>