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版本号：SCZH2025-CS-2941-00120251118003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渭南市临渭区普惠托育中心设施设备采购项目（10KV供电工程）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SCZH2025-CS-2941-001</w:t>
      </w:r>
      <w:r>
        <w:br/>
      </w:r>
      <w:r>
        <w:br/>
      </w:r>
      <w:r>
        <w:br/>
      </w:r>
    </w:p>
    <w:p>
      <w:pPr>
        <w:pStyle w:val="null3"/>
        <w:jc w:val="center"/>
        <w:outlineLvl w:val="2"/>
      </w:pPr>
      <w:r>
        <w:rPr>
          <w:rFonts w:ascii="仿宋_GB2312" w:hAnsi="仿宋_GB2312" w:cs="仿宋_GB2312" w:eastAsia="仿宋_GB2312"/>
          <w:sz w:val="28"/>
          <w:b/>
        </w:rPr>
        <w:t>渭南市临渭区解放街道社区卫生服务中心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渭南市临渭区解放街道社区卫生服务中心</w:t>
      </w:r>
      <w:r>
        <w:rPr>
          <w:rFonts w:ascii="仿宋_GB2312" w:hAnsi="仿宋_GB2312" w:cs="仿宋_GB2312" w:eastAsia="仿宋_GB2312"/>
        </w:rPr>
        <w:t>委托，拟对</w:t>
      </w:r>
      <w:r>
        <w:rPr>
          <w:rFonts w:ascii="仿宋_GB2312" w:hAnsi="仿宋_GB2312" w:cs="仿宋_GB2312" w:eastAsia="仿宋_GB2312"/>
        </w:rPr>
        <w:t>渭南市临渭区普惠托育中心设施设备采购项目（10KV供电工程）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SCZH2025-CS-2941-001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渭南市临渭区普惠托育中心设施设备采购项目（10KV供电工程）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新建箱变一座，容量为1250KVA。敷设电力电缆，新建架空线一档及新立二道杆一基。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采购包1（渭南市临渭区普惠托育中心设施设备采购项目（10KV供电工程））：属于专门面向中小企业采购。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1、营业执照：供应商须提供合法注册的法人或其他组织的营业执照等证明文件</w:t>
      </w:r>
    </w:p>
    <w:p>
      <w:pPr>
        <w:pStyle w:val="null3"/>
      </w:pPr>
      <w:r>
        <w:rPr>
          <w:rFonts w:ascii="仿宋_GB2312" w:hAnsi="仿宋_GB2312" w:cs="仿宋_GB2312" w:eastAsia="仿宋_GB2312"/>
        </w:rPr>
        <w:t>2、财务状况报告：供应商提供具有财务审计资质单位出具的2024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3、社会保障资金缴纳证明：供应商提供响应文件递交截止时间前一年内任意一个月的社保缴费凭据或社保机构开具的社会保险参保缴费情况证明；依法不需要缴纳社会保障资金的供应商应提供相关文件证明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4、税收缴纳证明：供应商提供响应文件递交截止时间前一年内任意一个月的税收缴费凭据；依法免税的应提供相关文件证明</w:t>
      </w:r>
    </w:p>
    <w:p>
      <w:pPr>
        <w:pStyle w:val="null3"/>
      </w:pPr>
      <w:r>
        <w:rPr>
          <w:rFonts w:ascii="仿宋_GB2312" w:hAnsi="仿宋_GB2312" w:cs="仿宋_GB2312" w:eastAsia="仿宋_GB2312"/>
        </w:rPr>
        <w:t>5、履约能力：供应商提供具有履行合同所必需的设备和专业技术能力的承诺</w:t>
      </w:r>
    </w:p>
    <w:p>
      <w:pPr>
        <w:pStyle w:val="null3"/>
      </w:pPr>
      <w:r>
        <w:rPr>
          <w:rFonts w:ascii="仿宋_GB2312" w:hAnsi="仿宋_GB2312" w:cs="仿宋_GB2312" w:eastAsia="仿宋_GB2312"/>
        </w:rPr>
        <w:t>6、三年内无重大违法记录：供应商提供参加政府采购活动前3年内在经营活动中没有重大违法记录的书面声明</w:t>
      </w:r>
    </w:p>
    <w:p>
      <w:pPr>
        <w:pStyle w:val="null3"/>
      </w:pPr>
      <w:r>
        <w:rPr>
          <w:rFonts w:ascii="仿宋_GB2312" w:hAnsi="仿宋_GB2312" w:cs="仿宋_GB2312" w:eastAsia="仿宋_GB2312"/>
        </w:rPr>
        <w:t>7、信用信息：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8、供应商资质和专业要求：供应商须具备建设行政主管部门核发的有效的电力工程施工总承包叁级及以上资质或输变电工程专业承包叁级及以上资质，同时具备《承装（修、试）电力设施许可证》三级及以上和有效的安全生产许可证</w:t>
      </w:r>
    </w:p>
    <w:p>
      <w:pPr>
        <w:pStyle w:val="null3"/>
      </w:pPr>
      <w:r>
        <w:rPr>
          <w:rFonts w:ascii="仿宋_GB2312" w:hAnsi="仿宋_GB2312" w:cs="仿宋_GB2312" w:eastAsia="仿宋_GB2312"/>
        </w:rPr>
        <w:t>9、拟派项目负责人要求：项目负责人具备机电工程专业二级及以上注册建造师执业资格，具备有效的安全生产考核合格证书B证(建安B证)，且无在建项目</w:t>
      </w:r>
    </w:p>
    <w:p>
      <w:pPr>
        <w:pStyle w:val="null3"/>
      </w:pPr>
      <w:r>
        <w:rPr>
          <w:rFonts w:ascii="仿宋_GB2312" w:hAnsi="仿宋_GB2312" w:cs="仿宋_GB2312" w:eastAsia="仿宋_GB2312"/>
        </w:rPr>
        <w:t>10、供应商基本信息：供应商及项目负责人基本信息应在“陕西省住房和城乡建设厅网站企业库、人员库”可查询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渭南市临渭区解放街道社区卫生服务中心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渭南市临渭区胜利大街113号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詹蕊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0913-2062982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董乐、韩昱晨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029-88210541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13369139666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渭南市临渭区解放街道社区卫生服务中心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渭南市临渭区解放街道社区卫生服务中心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渭南市临渭区解放街道社区卫生服务中心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一、符合1）国家及行业现行的标准、规范；2）甲方的具体要求。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联系人：董乐、韩昱晨</w:t>
      </w:r>
    </w:p>
    <w:p>
      <w:pPr>
        <w:pStyle w:val="null3"/>
      </w:pPr>
      <w:r>
        <w:rPr>
          <w:rFonts w:ascii="仿宋_GB2312" w:hAnsi="仿宋_GB2312" w:cs="仿宋_GB2312" w:eastAsia="仿宋_GB2312"/>
        </w:rPr>
        <w:t>联系电话：029-88215041</w:t>
      </w:r>
    </w:p>
    <w:p>
      <w:pPr>
        <w:pStyle w:val="null3"/>
      </w:pPr>
      <w:r>
        <w:rPr>
          <w:rFonts w:ascii="仿宋_GB2312" w:hAnsi="仿宋_GB2312" w:cs="仿宋_GB2312" w:eastAsia="仿宋_GB2312"/>
        </w:rPr>
        <w:t>地址：西安市都市之门C座9层工程咨询中心</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955,000.00</w:t>
      </w:r>
    </w:p>
    <w:p>
      <w:pPr>
        <w:pStyle w:val="null3"/>
      </w:pPr>
      <w:r>
        <w:rPr>
          <w:rFonts w:ascii="仿宋_GB2312" w:hAnsi="仿宋_GB2312" w:cs="仿宋_GB2312" w:eastAsia="仿宋_GB2312"/>
        </w:rPr>
        <w:t>采购包最高限价（元）: 955,000.00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10KV供电工程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标的名称：10KV供电工程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新建箱变一座，容量为1250KVA。敷设电力电缆，新建架空线一档及新立二道杆一基，具体内容详见工程量清单及图纸。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符合国家相关质量验收标准及施工、质量验收规范要求，质量达到国家规定合格标准。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工程质量达到合格标准，乙方必须严格按照有关施工和验收规范进行施工，符合施工质量验收标准以及国家、省、市、行业及地方标准等相关规范要求。 缺陷责任期：当地电力局及甲方验收合格之日起1年。 缺陷责任期内对因乙方自身原因造成的工程缺陷，乙方应负责维修。 保修期依据《建筑工程质量管理条例》确定，属于保修范围和内容的项目，乙方应在接到维修通知后，24小时内派人维修。发生紧急抢修事故（如供电设施漏、断电等），乙方应在接到事故通知后2小时内到达事故现场并于4小时内完成应急维修。 安全保证：符合国家和磋商文件安全要求。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供应商须提供合法注册的法人或其他组织的营业执照等证明文件</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具有财务审计资质单位出具的2024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供应商提供具有履行合同所必需的设备和专业技术能力的承诺</w:t>
            </w:r>
          </w:p>
        </w:tc>
        <w:tc>
          <w:tcPr>
            <w:tcW w:type="dxa" w:w="1661"/>
          </w:tcPr>
          <w:p>
            <w:pPr>
              <w:pStyle w:val="null3"/>
            </w:pPr>
            <w:r>
              <w:rPr>
                <w:rFonts w:ascii="仿宋_GB2312" w:hAnsi="仿宋_GB2312" w:cs="仿宋_GB2312" w:eastAsia="仿宋_GB2312"/>
              </w:rPr>
              <w:t>供应商应提供的相关资格证明材料.docx 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供应商提供参加政府采购活动前3年内在经营活动中没有重大违法记录的书面声明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供应商须具备建设行政主管部门核发的有效的电力工程施工总承包叁级及以上资质或输变电工程专业承包叁级及以上资质，同时具备《承装（修、试）电力设施许可证》三级及以上和有效的安全生产许可证</w:t>
            </w:r>
          </w:p>
        </w:tc>
        <w:tc>
          <w:tcPr>
            <w:tcW w:type="dxa" w:w="1661"/>
          </w:tcPr>
          <w:p>
            <w:pPr>
              <w:pStyle w:val="null3"/>
            </w:pPr>
            <w:r>
              <w:rPr>
                <w:rFonts w:ascii="仿宋_GB2312" w:hAnsi="仿宋_GB2312" w:cs="仿宋_GB2312" w:eastAsia="仿宋_GB2312"/>
              </w:rPr>
              <w:t>响应文件封面 供应商应提供的相关资格证明材料.docx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项目负责人具备机电工程专业二级及以上注册建造师执业资格，具备有效的安全生产考核合格证书B证(建安B证)，且无在建项目</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供应商及项目负责人基本信息应在“陕西省住房和城乡建设厅网站企业库、人员库”可查询</w:t>
            </w:r>
          </w:p>
        </w:tc>
        <w:tc>
          <w:tcPr>
            <w:tcW w:type="dxa" w:w="1661"/>
          </w:tcPr>
          <w:p>
            <w:pPr>
              <w:pStyle w:val="null3"/>
            </w:pPr>
            <w:r>
              <w:rPr>
                <w:rFonts w:ascii="仿宋_GB2312" w:hAnsi="仿宋_GB2312" w:cs="仿宋_GB2312" w:eastAsia="仿宋_GB2312"/>
              </w:rPr>
              <w:t>响应文件封面 供应商应提供的相关资格证明材料.docx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响应文件构成是否有重大缺项，是否按照磋商文件要求的格式编写响应文件。</w:t>
            </w:r>
          </w:p>
        </w:tc>
        <w:tc>
          <w:tcPr>
            <w:tcW w:type="dxa" w:w="1661"/>
          </w:tcPr>
          <w:p>
            <w:pPr>
              <w:pStyle w:val="null3"/>
            </w:pPr>
            <w:r>
              <w:rPr>
                <w:rFonts w:ascii="仿宋_GB2312" w:hAnsi="仿宋_GB2312" w:cs="仿宋_GB2312" w:eastAsia="仿宋_GB2312"/>
              </w:rPr>
              <w:t>响应文件封面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响应文件的签署、加盖印章是否合格、有效；提供的各种证明文件、数据、资料是否真实、有效，响应有效期是否满足磋商文件规定。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供应商报价未超过预算金额（磋商文件有最高限价的，报价未超过最高限价）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包括但不限于①内容全面性；②方案合理性；③方案可行性进行综合评审。 前述要求的方案内容均有描述且符合本项目要求的得9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根据施工规模和工艺要求，提供①劳动力安排合理，能有效保证工程工期；②机械配备完善、材料投入符合采购要求；每有一项缺项扣2.5分， 扣完为止。每有一项内容中有缺陷，指项目需求不匹配或不能满足项目实施要求及其他不利于项目实施的扣0.5分，扣完为止。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根据供应商提供的质量控制方案(包括但不限于①质量控制标准；②质量控制措施)进行综合评审。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1.安全目标明确性（1分）：明确具体安全事故发生率控制目标得1分，无明确目标得0分。 2.安全体系健全度（1.5分）：体系包含安全管理制度、人员培训、应急演练等环节，每缺一项扣0.5分，扣完为止。 3.应急预案可行性（2分）：应急预案涵盖①常见安全事故场景；②应对措施合理；每缺一项扣1分，扣完为止。 4.文明施工措施具体性（1.5分）：措施包含场地整洁、噪音控制、扬尘治理等内容，每缺一项扣0.5分，扣完为止。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根据供应商提供的技术组织措施(包括但不限于①总工期满足要求；②延误工期补救措施有效性)进行综合评审。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根据供应商提供的人员配备情况(包括但不限于①项目部组织结构、项目下设部门合理；②按岗位专业负责人配备情况，从业人员是否齐全，除项目经理外包括但不限于技术负责人、专职安全生产管理员、资料员、施工员等岗位人员)进行综合评审。 注：需提供人员身份证、岗位证书扫描件。 前述要求的方案内容均有描述且符合本项目要求的得8分；每缺少一项要求的方案内容扣4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近三年（2022年1月1日至响应文件递交截止时间）完成的类似项目业绩（时间以合同签订时间为准），有1项得5分，最高得20分。 备注：业绩以合同的复印件并加盖供应商公章为计分依据。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满足磋商文件要求且投标价格最低的投标报价为评标基准价，其价格分为满分。其他供应商的价格分统一按照下列公式计算：报价得分=（评标基准价/投标报价）×价格权值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详见附件：供应商应提供的相关资格证明材料.docx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