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版本号：SXTW-2025-110920251119002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渭南市临渭区零工市场运营服务项目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SXTW-2025-1109</w:t>
      </w:r>
      <w:r>
        <w:br/>
      </w:r>
      <w:r>
        <w:br/>
      </w:r>
      <w:r>
        <w:br/>
      </w:r>
    </w:p>
    <w:p>
      <w:pPr>
        <w:pStyle w:val="null3"/>
        <w:jc w:val="center"/>
        <w:outlineLvl w:val="2"/>
      </w:pPr>
      <w:r>
        <w:rPr>
          <w:rFonts w:ascii="仿宋_GB2312" w:hAnsi="仿宋_GB2312" w:cs="仿宋_GB2312" w:eastAsia="仿宋_GB2312"/>
          <w:sz w:val="28"/>
          <w:b/>
        </w:rPr>
        <w:t>渭南市临渭区劳动就业服务中心</w:t>
      </w:r>
    </w:p>
    <w:p>
      <w:pPr>
        <w:pStyle w:val="null3"/>
        <w:jc w:val="center"/>
        <w:outlineLvl w:val="2"/>
      </w:pPr>
      <w:r>
        <w:rPr>
          <w:rFonts w:ascii="仿宋_GB2312" w:hAnsi="仿宋_GB2312" w:cs="仿宋_GB2312" w:eastAsia="仿宋_GB2312"/>
          <w:sz w:val="28"/>
          <w:b/>
        </w:rPr>
        <w:t>陕西侗伟项目管理有限公司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陕西侗伟项目管理有限公司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渭南市临渭区劳动就业服务中心</w:t>
      </w:r>
      <w:r>
        <w:rPr>
          <w:rFonts w:ascii="仿宋_GB2312" w:hAnsi="仿宋_GB2312" w:cs="仿宋_GB2312" w:eastAsia="仿宋_GB2312"/>
        </w:rPr>
        <w:t>委托，拟对</w:t>
      </w:r>
      <w:r>
        <w:rPr>
          <w:rFonts w:ascii="仿宋_GB2312" w:hAnsi="仿宋_GB2312" w:cs="仿宋_GB2312" w:eastAsia="仿宋_GB2312"/>
        </w:rPr>
        <w:t>渭南市临渭区零工市场运营服务项目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SXTW-2025-1109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渭南市临渭区零工市场运营服务项目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零工市场的建设应坚持党和国家就业方针，支持促进多渠道高质量充分就业，为辖区内劳动者和用工主体提供有针对性的免费公共就业服务。渭南市临渭区零工市场所在地应设置在临渭区辖区内交通便利、人口密集、产业集聚的街道社区或商圈。本项目要求零工市场建筑面积不小于300平方米，场地要求为可用于商业活动的标准一体化经营场所，在明显位置处标识“渭南市临渭区零工市场 ”。服务场所内规划有求职登记、岗位对接、政策咨询、直播带岗、技能培训、创业指导、劳动维权、便民服务等，统筹配备办公电脑、休息桌椅、智能一体机、信息发布屏。零工市场应具备健全的服务制度、齐全的服务设备、完整的服务项目、清晰的服务流程、专业的服务队伍，可为各类用工主体和零工人员搭建供需对接平台，促进多渠道灵活就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采购包1（渭南市临渭区零工市场运营服务项目）：属于专门面向中小企业采购。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营业执照等证明文件合法有效，具有独立承担民事责任的能力且具备向采购人提供相关服务的企业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2024年度财务审计报告（若成立时间至磋商文件递交截止时间前不足一年的可提供成立后任意时段的资产负债表）或磋商文件递交截止时间前六个月内其基本账户银行出具的资信证明（附基本账户证明）或政府采购信用担保机构出具的投标担保函；</w:t>
      </w:r>
    </w:p>
    <w:p>
      <w:pPr>
        <w:pStyle w:val="null3"/>
      </w:pPr>
      <w:r>
        <w:rPr>
          <w:rFonts w:ascii="仿宋_GB2312" w:hAnsi="仿宋_GB2312" w:cs="仿宋_GB2312" w:eastAsia="仿宋_GB2312"/>
        </w:rPr>
        <w:t>3、社保缴纳证明：提供递交磋商文件截止之日前一年内任意一个月的社会保障资金缴存单据或社保机构开具的社会保险参保缴费情况证明；依法不需要缴纳社会保障资金的供应商应提供相关证明文件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磋商文件截止之日前一年内任意一个月的依法缴纳税收的相关凭据（时间以税款所属日期为准、增值税、企业所得税至少提供一种），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5、书面声明：提供具有履行本合同所必需的设备和专业技术能力的说明及承诺；</w:t>
      </w:r>
    </w:p>
    <w:p>
      <w:pPr>
        <w:pStyle w:val="null3"/>
      </w:pPr>
      <w:r>
        <w:rPr>
          <w:rFonts w:ascii="仿宋_GB2312" w:hAnsi="仿宋_GB2312" w:cs="仿宋_GB2312" w:eastAsia="仿宋_GB2312"/>
        </w:rPr>
        <w:t>6、资质要求：供应商须具备合格有效的《人力资源服务许可证》</w:t>
      </w:r>
    </w:p>
    <w:p>
      <w:pPr>
        <w:pStyle w:val="null3"/>
      </w:pPr>
      <w:r>
        <w:rPr>
          <w:rFonts w:ascii="仿宋_GB2312" w:hAnsi="仿宋_GB2312" w:cs="仿宋_GB2312" w:eastAsia="仿宋_GB2312"/>
        </w:rPr>
        <w:t>7、无重大违法、违纪书面声明：参加政府采购活动前三年内在经营活动中无重大违法记录的书面声明；</w:t>
      </w:r>
    </w:p>
    <w:p>
      <w:pPr>
        <w:pStyle w:val="null3"/>
      </w:pPr>
      <w:r>
        <w:rPr>
          <w:rFonts w:ascii="仿宋_GB2312" w:hAnsi="仿宋_GB2312" w:cs="仿宋_GB2312" w:eastAsia="仿宋_GB2312"/>
        </w:rPr>
        <w:t>8、信用记录：供应商不得为“信用中国”网站（www.creditchi na.gov.cn）中列入重大税收违法失信主体的供应商；不得为“中国执行信息公开网”（https://zxgk.court.gov.cn）中列入失信被执行人名单的供应商；不得为“中国政府采购网”（www.cc 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9、控股管理关系：单位负责人为同一人或者存在直接控股、管理关系的不同供应商，不得同时参加同一合同项下的政府采购活动。</w:t>
      </w:r>
    </w:p>
    <w:p>
      <w:pPr>
        <w:pStyle w:val="null3"/>
      </w:pPr>
      <w:r>
        <w:rPr>
          <w:rFonts w:ascii="仿宋_GB2312" w:hAnsi="仿宋_GB2312" w:cs="仿宋_GB2312" w:eastAsia="仿宋_GB2312"/>
        </w:rPr>
        <w:t>10、法定代表人授权委托书：供应商应授权合法的人员参加投标全过程,其中法定代表人或其他组织负责人直接参加投标的 , 须出具法人身份证并与营业执照上信息一致或其他组织负责人身份证。授权代表参加投标的，须出具法定代表人或其他组织负责人授权书及授权代表身份证。</w:t>
      </w:r>
    </w:p>
    <w:p>
      <w:pPr>
        <w:pStyle w:val="null3"/>
      </w:pPr>
      <w:r>
        <w:rPr>
          <w:rFonts w:ascii="仿宋_GB2312" w:hAnsi="仿宋_GB2312" w:cs="仿宋_GB2312" w:eastAsia="仿宋_GB2312"/>
        </w:rPr>
        <w:t>11、不接受联合体磋商：提供非联合体声明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渭南市临渭区劳动就业服务中心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临渭区政府11号楼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0913-3035206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陕西侗伟项目管理有限公司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渭南市临渭区胜利大街与前进路十字西200米路南雅馨花园C座C08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高宇姣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13310933306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开户名称：陕西侗伟项目管理有限公司</w:t>
            </w:r>
          </w:p>
          <w:p>
            <w:pPr>
              <w:pStyle w:val="null3"/>
            </w:pPr>
            <w:r>
              <w:rPr>
                <w:rFonts w:ascii="仿宋_GB2312" w:hAnsi="仿宋_GB2312" w:cs="仿宋_GB2312" w:eastAsia="仿宋_GB2312"/>
              </w:rPr>
              <w:t>开户银行：中国建设银行股份有限公司渭南前进路支行</w:t>
            </w:r>
          </w:p>
          <w:p>
            <w:pPr>
              <w:pStyle w:val="null3"/>
            </w:pPr>
            <w:r>
              <w:rPr>
                <w:rFonts w:ascii="仿宋_GB2312" w:hAnsi="仿宋_GB2312" w:cs="仿宋_GB2312" w:eastAsia="仿宋_GB2312"/>
              </w:rPr>
              <w:t>银行账号：6105 0164 1600 0000 1333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关于进一步放开建设项目专业服务价格的通知》（发改价格〔2015〕299号），参考《国家计委关于印发&lt;招标代理服务收费管理暂行办法&gt;的通知》（计价格)〔2002〕1980号文件规定的计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渭南市临渭区劳动就业服务中心</w:t>
      </w:r>
      <w:r>
        <w:rPr>
          <w:rFonts w:ascii="仿宋_GB2312" w:hAnsi="仿宋_GB2312" w:cs="仿宋_GB2312" w:eastAsia="仿宋_GB2312"/>
        </w:rPr>
        <w:t>和</w:t>
      </w:r>
      <w:r>
        <w:rPr>
          <w:rFonts w:ascii="仿宋_GB2312" w:hAnsi="仿宋_GB2312" w:cs="仿宋_GB2312" w:eastAsia="仿宋_GB2312"/>
        </w:rPr>
        <w:t>陕西侗伟项目管理有限公司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渭南市临渭区劳动就业服务中心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陕西侗伟项目管理有限公司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渭南市临渭区劳动就业服务中心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陕西侗伟项目管理有限公司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联系人：高宇姣</w:t>
      </w:r>
    </w:p>
    <w:p>
      <w:pPr>
        <w:pStyle w:val="null3"/>
      </w:pPr>
      <w:r>
        <w:rPr>
          <w:rFonts w:ascii="仿宋_GB2312" w:hAnsi="仿宋_GB2312" w:cs="仿宋_GB2312" w:eastAsia="仿宋_GB2312"/>
        </w:rPr>
        <w:t>联系电话：13310933306</w:t>
      </w:r>
    </w:p>
    <w:p>
      <w:pPr>
        <w:pStyle w:val="null3"/>
      </w:pPr>
      <w:r>
        <w:rPr>
          <w:rFonts w:ascii="仿宋_GB2312" w:hAnsi="仿宋_GB2312" w:cs="仿宋_GB2312" w:eastAsia="仿宋_GB2312"/>
        </w:rPr>
        <w:t>地址：渭南市临渭区胜利大街与前进路十字西200米路南雅馨花园C座C08</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零工市场的建设应坚持党和国家就业方针，支持促进多渠道高质量充分就业，为辖区内劳动者和用工主体提供有针对性的免费公共就业服务。渭南市临渭区零工市场所在地应设置在临渭区辖区内交通便利、人口密集、产业集聚的街道社区或商圈。本项目要求零工市场建筑面积不小于300平方米，场地要求为可用于商业活动的标准一体化经营场所，在明显位置处标识“渭南市临渭区零工市场 ”。服务场所内规划有求职登记、岗位对接、政策咨询、直播带岗、技能培训、创业指导、劳动维权、便民服务等，统筹配备办公电脑、休息桌椅、智能一体机、信息发布屏。零工市场应具备健全的服务制度、齐全的服务设备、完整的服务项目、清晰的服务流程、专业的服务队伍，可为各类用工主体和零工人员搭建供需对接平台，促进多渠道灵活就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渭南市临渭区零工市场运营服务项目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标的名称：渭南市临渭区零工市场运营服务项目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零工市场的建设应坚持党和国家就业方针，支持促进多渠道高质量充分就业，为辖区内劳动者和用工主体提供有针对性的免费公共就业服务。渭南市临渭区零工市场所在地应设置在临渭区辖区内交通便利、人口密集、产业集聚的街道社区或商圈。本项目要求零工市场</w:t>
            </w:r>
            <w:r>
              <w:rPr>
                <w:rFonts w:ascii="仿宋_GB2312" w:hAnsi="仿宋_GB2312" w:cs="仿宋_GB2312" w:eastAsia="仿宋_GB2312"/>
                <w:sz w:val="24"/>
              </w:rPr>
              <w:t>建筑</w:t>
            </w:r>
            <w:r>
              <w:rPr>
                <w:rFonts w:ascii="仿宋_GB2312" w:hAnsi="仿宋_GB2312" w:cs="仿宋_GB2312" w:eastAsia="仿宋_GB2312"/>
                <w:sz w:val="24"/>
              </w:rPr>
              <w:t>面积不小于300平方米，场地要求为可用于商业活动的标准一体化经营场所，在明显位置处标识“渭南市临渭区零工市场 ”。服务场所内规划有求职登记、岗位对接、政策咨询、直播带岗、技能培训、创业指导、劳动维权、便民服务等，统筹配备办公电脑、休息桌椅、智能一体机、信息发布屏。零工市场应具备健全的服务制度、齐全的服务设备、完整的服务项目、清晰的服务流程、专业的服务队伍，可为各类用工主体和零工人员搭建供需对接平台，促进多渠道灵活就业。</w:t>
            </w:r>
          </w:p>
          <w:p>
            <w:pPr>
              <w:pStyle w:val="null3"/>
              <w:jc w:val="both"/>
            </w:pPr>
            <w:r>
              <w:rPr>
                <w:rFonts w:ascii="仿宋_GB2312" w:hAnsi="仿宋_GB2312" w:cs="仿宋_GB2312" w:eastAsia="仿宋_GB2312"/>
                <w:sz w:val="24"/>
                <w:b/>
              </w:rPr>
              <w:t>二、运营服务主要内容</w:t>
            </w:r>
          </w:p>
          <w:p>
            <w:pPr>
              <w:pStyle w:val="null3"/>
              <w:ind w:firstLine="480"/>
              <w:jc w:val="left"/>
            </w:pPr>
            <w:r>
              <w:rPr>
                <w:rFonts w:ascii="仿宋_GB2312" w:hAnsi="仿宋_GB2312" w:cs="仿宋_GB2312" w:eastAsia="仿宋_GB2312"/>
                <w:sz w:val="24"/>
              </w:rPr>
              <w:t>主要服务对象为辖区内有就业需求的劳动者及用人单位。服务内容为宣传就业创业政策，发布用工岗位信息，收集求职信息，建立并更新求职信息库和企业用工岗位信息库；开展各类招聘会，直播带岗，政策宣传交流会；提供职业技能培训信息；提供劳务品牌及特色产业展示；提供便民服务设施；指导辖区零工驿站开展各项工作。</w:t>
            </w:r>
          </w:p>
          <w:p>
            <w:pPr>
              <w:pStyle w:val="null3"/>
              <w:jc w:val="both"/>
            </w:pPr>
            <w:r>
              <w:rPr>
                <w:rFonts w:ascii="仿宋_GB2312" w:hAnsi="仿宋_GB2312" w:cs="仿宋_GB2312" w:eastAsia="仿宋_GB2312"/>
                <w:sz w:val="24"/>
                <w:b/>
              </w:rPr>
              <w:t>三、运营服务项目及工作要求</w:t>
            </w:r>
          </w:p>
          <w:p>
            <w:pPr>
              <w:pStyle w:val="null3"/>
              <w:ind w:firstLine="480"/>
              <w:jc w:val="left"/>
            </w:pPr>
            <w:r>
              <w:rPr>
                <w:rFonts w:ascii="仿宋_GB2312" w:hAnsi="仿宋_GB2312" w:cs="仿宋_GB2312" w:eastAsia="仿宋_GB2312"/>
                <w:sz w:val="24"/>
              </w:rPr>
              <w:t>（一）固定及日常服务项目</w:t>
            </w:r>
          </w:p>
          <w:p>
            <w:pPr>
              <w:pStyle w:val="null3"/>
              <w:ind w:firstLine="480"/>
              <w:jc w:val="left"/>
            </w:pPr>
            <w:r>
              <w:rPr>
                <w:rFonts w:ascii="仿宋_GB2312" w:hAnsi="仿宋_GB2312" w:cs="仿宋_GB2312" w:eastAsia="仿宋_GB2312"/>
                <w:sz w:val="24"/>
              </w:rPr>
              <w:t>包含零工市场的场地租赁、装修改造、水电费用、网络费用及日常耗材、设备维护等。</w:t>
            </w:r>
          </w:p>
          <w:p>
            <w:pPr>
              <w:pStyle w:val="null3"/>
              <w:ind w:firstLine="480"/>
              <w:jc w:val="left"/>
            </w:pPr>
            <w:r>
              <w:rPr>
                <w:rFonts w:ascii="仿宋_GB2312" w:hAnsi="仿宋_GB2312" w:cs="仿宋_GB2312" w:eastAsia="仿宋_GB2312"/>
                <w:sz w:val="24"/>
              </w:rPr>
              <w:t>（二）基础服务项目</w:t>
            </w:r>
          </w:p>
          <w:p>
            <w:pPr>
              <w:pStyle w:val="null3"/>
              <w:ind w:firstLine="480"/>
              <w:jc w:val="left"/>
            </w:pPr>
            <w:r>
              <w:rPr>
                <w:rFonts w:ascii="仿宋_GB2312" w:hAnsi="仿宋_GB2312" w:cs="仿宋_GB2312" w:eastAsia="仿宋_GB2312"/>
                <w:sz w:val="24"/>
              </w:rPr>
              <w:t>1.服务场所</w:t>
            </w:r>
          </w:p>
          <w:p>
            <w:pPr>
              <w:pStyle w:val="null3"/>
              <w:ind w:firstLine="480"/>
              <w:jc w:val="left"/>
            </w:pPr>
            <w:r>
              <w:rPr>
                <w:rFonts w:ascii="仿宋_GB2312" w:hAnsi="仿宋_GB2312" w:cs="仿宋_GB2312" w:eastAsia="仿宋_GB2312"/>
                <w:sz w:val="24"/>
              </w:rPr>
              <w:t>服务场所可划分为综合服务区、便民服务区、直播带岗区、技能培训区、劳务品牌展示区等。优化洽谈交易、遮风避雨、防暑防寒等基础功能，扎实落实消防安全、应急管理等有关要求，确保零工市场建设、运行安全。即时性精准匹配信息，根据零工时效性强、流动性大的特点，建立零工“即时快招 ”服务模式，设立零工信息快速发布通道，拓展招聘对接形式，简化求职登记流程，开展现场对接洽谈，即时确认结果，促进供需快捷匹配。全链条拓展多元服务。积极推广“临渭云就业”“秦云就业”小程序，开设“线上零工市场 ”，全面提供岗位供求、快速对接、职业培训、政策咨询、劳动维权等“一站式 ”就业服务，保障各类求职人员“进得来、留得下，有活干、能挣钱 ”。</w:t>
            </w:r>
          </w:p>
          <w:p>
            <w:pPr>
              <w:pStyle w:val="null3"/>
              <w:ind w:firstLine="480"/>
              <w:jc w:val="left"/>
            </w:pPr>
            <w:r>
              <w:rPr>
                <w:rFonts w:ascii="仿宋_GB2312" w:hAnsi="仿宋_GB2312" w:cs="仿宋_GB2312" w:eastAsia="仿宋_GB2312"/>
                <w:sz w:val="24"/>
              </w:rPr>
              <w:t>2.公共就业服务项目</w:t>
            </w:r>
          </w:p>
          <w:p>
            <w:pPr>
              <w:pStyle w:val="null3"/>
              <w:ind w:firstLine="480"/>
              <w:jc w:val="left"/>
            </w:pPr>
            <w:r>
              <w:rPr>
                <w:rFonts w:ascii="仿宋_GB2312" w:hAnsi="仿宋_GB2312" w:cs="仿宋_GB2312" w:eastAsia="仿宋_GB2312"/>
                <w:sz w:val="24"/>
              </w:rPr>
              <w:t>（1）线下现场招聘会</w:t>
            </w:r>
          </w:p>
          <w:p>
            <w:pPr>
              <w:pStyle w:val="null3"/>
              <w:ind w:firstLine="480"/>
              <w:jc w:val="left"/>
            </w:pPr>
            <w:r>
              <w:rPr>
                <w:rFonts w:ascii="仿宋_GB2312" w:hAnsi="仿宋_GB2312" w:cs="仿宋_GB2312" w:eastAsia="仿宋_GB2312"/>
                <w:sz w:val="24"/>
              </w:rPr>
              <w:t>全年组织开展各类线下招聘活动不少于12场次，累计组织参会企业不少于300家。</w:t>
            </w:r>
          </w:p>
          <w:p>
            <w:pPr>
              <w:pStyle w:val="null3"/>
              <w:ind w:firstLine="480"/>
              <w:jc w:val="left"/>
            </w:pPr>
            <w:r>
              <w:rPr>
                <w:rFonts w:ascii="仿宋_GB2312" w:hAnsi="仿宋_GB2312" w:cs="仿宋_GB2312" w:eastAsia="仿宋_GB2312"/>
                <w:sz w:val="24"/>
              </w:rPr>
              <w:t>（2）线上直播带岗</w:t>
            </w:r>
          </w:p>
          <w:p>
            <w:pPr>
              <w:pStyle w:val="null3"/>
              <w:ind w:firstLine="480"/>
              <w:jc w:val="left"/>
            </w:pPr>
            <w:r>
              <w:rPr>
                <w:rFonts w:ascii="仿宋_GB2312" w:hAnsi="仿宋_GB2312" w:cs="仿宋_GB2312" w:eastAsia="仿宋_GB2312"/>
                <w:sz w:val="24"/>
              </w:rPr>
              <w:t>全年开展直播带岗不少于24场次，每场直播参会企业不少于3 家，直播须多渠道开展宣传预告，每场直播观看人数不少于2000人次。</w:t>
            </w:r>
          </w:p>
          <w:p>
            <w:pPr>
              <w:pStyle w:val="null3"/>
              <w:ind w:firstLine="480"/>
              <w:jc w:val="left"/>
            </w:pPr>
            <w:r>
              <w:rPr>
                <w:rFonts w:ascii="仿宋_GB2312" w:hAnsi="仿宋_GB2312" w:cs="仿宋_GB2312" w:eastAsia="仿宋_GB2312"/>
                <w:sz w:val="24"/>
              </w:rPr>
              <w:t>（3）“临渭云就业”“秦云就业”信息采集发布。</w:t>
            </w:r>
          </w:p>
          <w:p>
            <w:pPr>
              <w:pStyle w:val="null3"/>
              <w:ind w:firstLine="480"/>
              <w:jc w:val="left"/>
            </w:pPr>
            <w:r>
              <w:rPr>
                <w:rFonts w:ascii="仿宋_GB2312" w:hAnsi="仿宋_GB2312" w:cs="仿宋_GB2312" w:eastAsia="仿宋_GB2312"/>
                <w:sz w:val="24"/>
              </w:rPr>
              <w:t>充分运用“临渭云就业”“秦云就业”小程序有效采集发布全日制用工、临时性和阶段性用工等招聘信息。全年发布岗位信息不少于10000条，其中零工岗位占比不得少于10％。</w:t>
            </w:r>
          </w:p>
          <w:p>
            <w:pPr>
              <w:pStyle w:val="null3"/>
              <w:ind w:firstLine="480"/>
              <w:jc w:val="left"/>
            </w:pPr>
            <w:r>
              <w:rPr>
                <w:rFonts w:ascii="仿宋_GB2312" w:hAnsi="仿宋_GB2312" w:cs="仿宋_GB2312" w:eastAsia="仿宋_GB2312"/>
                <w:sz w:val="24"/>
              </w:rPr>
              <w:t>（4）政策宣传活动</w:t>
            </w:r>
          </w:p>
          <w:p>
            <w:pPr>
              <w:pStyle w:val="null3"/>
              <w:ind w:firstLine="480"/>
              <w:jc w:val="left"/>
            </w:pPr>
            <w:r>
              <w:rPr>
                <w:rFonts w:ascii="仿宋_GB2312" w:hAnsi="仿宋_GB2312" w:cs="仿宋_GB2312" w:eastAsia="仿宋_GB2312"/>
                <w:sz w:val="24"/>
              </w:rPr>
              <w:t>按照“人社工作进园区”部署要求，组织就业政策专题宣传活动。全年通过进园区、进高校、进商圈、进企业、进社区（村）等方式组织各类活动不得少于10场次。做好每场活动的后期媒体宣传，每月至少发布1篇宣传文章，确保宣传内容的多样性和时效性，提高公众的参与度和关注度。</w:t>
            </w:r>
          </w:p>
          <w:p>
            <w:pPr>
              <w:pStyle w:val="null3"/>
              <w:ind w:firstLine="480"/>
              <w:jc w:val="left"/>
            </w:pPr>
            <w:r>
              <w:rPr>
                <w:rFonts w:ascii="仿宋_GB2312" w:hAnsi="仿宋_GB2312" w:cs="仿宋_GB2312" w:eastAsia="仿宋_GB2312"/>
                <w:sz w:val="24"/>
              </w:rPr>
              <w:t>（5）就业创业指导</w:t>
            </w:r>
          </w:p>
          <w:p>
            <w:pPr>
              <w:pStyle w:val="null3"/>
              <w:ind w:firstLine="480"/>
              <w:jc w:val="left"/>
            </w:pPr>
            <w:r>
              <w:rPr>
                <w:rFonts w:ascii="仿宋_GB2312" w:hAnsi="仿宋_GB2312" w:cs="仿宋_GB2312" w:eastAsia="仿宋_GB2312"/>
                <w:sz w:val="24"/>
              </w:rPr>
              <w:t>主动面向各类求职群体开展就业创业指导服务，并成功促进就业创业（成功实现就业指在就业单位正常工作3个月以上；成功实现创业指创业项目正常运营1年以上），全年成功就业创业指导不少于200人。</w:t>
            </w:r>
          </w:p>
          <w:p>
            <w:pPr>
              <w:pStyle w:val="null3"/>
              <w:ind w:firstLine="480"/>
              <w:jc w:val="left"/>
            </w:pPr>
            <w:r>
              <w:rPr>
                <w:rFonts w:ascii="仿宋_GB2312" w:hAnsi="仿宋_GB2312" w:cs="仿宋_GB2312" w:eastAsia="仿宋_GB2312"/>
                <w:sz w:val="24"/>
              </w:rPr>
              <w:t>3.日常管理服务项目</w:t>
            </w:r>
          </w:p>
          <w:p>
            <w:pPr>
              <w:pStyle w:val="null3"/>
              <w:ind w:firstLine="480"/>
              <w:jc w:val="left"/>
            </w:pPr>
            <w:r>
              <w:rPr>
                <w:rFonts w:ascii="仿宋_GB2312" w:hAnsi="仿宋_GB2312" w:cs="仿宋_GB2312" w:eastAsia="仿宋_GB2312"/>
                <w:sz w:val="24"/>
              </w:rPr>
              <w:t>完成日常业务工作，做好零工市场及零工驿站的人员管理，制度管理、公共秩序管理、安全监控、后勤服务的管理。做好大型招聘会、零工市场等场地的安全保障服务工作。做好保洁管理和设备设施的维修和保养，保障水、电、消防、通讯和网络设施正常运行，留存台账记录。指导辖区就业驿站开展各项工作。</w:t>
            </w:r>
          </w:p>
          <w:p>
            <w:pPr>
              <w:pStyle w:val="null3"/>
              <w:ind w:firstLine="480"/>
              <w:jc w:val="left"/>
            </w:pPr>
            <w:r>
              <w:rPr>
                <w:rFonts w:ascii="仿宋_GB2312" w:hAnsi="仿宋_GB2312" w:cs="仿宋_GB2312" w:eastAsia="仿宋_GB2312"/>
                <w:sz w:val="24"/>
              </w:rPr>
              <w:t>（三）其他事项：</w:t>
            </w:r>
          </w:p>
          <w:p>
            <w:pPr>
              <w:pStyle w:val="null3"/>
              <w:jc w:val="both"/>
            </w:pPr>
            <w:r>
              <w:rPr>
                <w:rFonts w:ascii="仿宋_GB2312" w:hAnsi="仿宋_GB2312" w:cs="仿宋_GB2312" w:eastAsia="仿宋_GB2312"/>
                <w:sz w:val="24"/>
              </w:rPr>
              <w:t>零工市场工作人员要设置合理的工作岗位，明确岗位职责。工作人员应进行岗前业务培训，学习有关政策、法律法规及相关业务知识，参加服务机构及上级业务主管部门组织的业务培训，保持持续稳定的服务能力。建立健全零工市场服务相关制度。面向求职人员和用工主体定期开展零工市场服务满意度调查，对服务环境、服务过程、服务结果等进行评价。</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一年(如服务良好，经甲方确认，以服务期为单位可续签，但续签最多不超过两个服务期）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符合国家现行技术规范和标准合格及采购人采购需求。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剩余部分按季度结算，甲方于每个季度结束后进行验收考评，劳务服务成果验收合格后，中标公司提供合法的正式发票(含税价)，甲方在 10日内按项目进度予以支付，四个季度除预付款外支付总服务费不超过合同总金额的60%。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合同签订后10日内，支付合同总金额的40.00%。剩余部分按季度结算，甲方于每个季度结束后进行验收考评，劳务服务成果验收合格后，中标公司提供合法的正式发票(含税价)，甲方在 10日内按项目进度予以支付，四个季度除预付款外支付总服务费不超过合同总金额的60%。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营业执照等证明文件合法有效，具有独立承担民事责任的能力且具备向采购人提供相关服务的企业法人、其他组织或自然人，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审计报告（若成立时间至磋商文件递交截止时间前不足一年的可提供成立后任意时段的资产负债表）或磋商文件递交截止时间前六个月内其基本账户银行出具的资信证明（附基本账户证明）或政府采购信用担保机构出具的投标担保函；</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提供递交磋商文件截止之日前一年内任意一个月的社会保障资金缴存单据或社保机构开具的社会保险参保缴费情况证明；依法不需要缴纳社会保障资金的供应商应提供相关证明文件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磋商文件截止之日前一年内任意一个月的依法缴纳税收的相关凭据（时间以税款所属日期为准、增值税、企业所得税至少提供一种），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供应商须具备合格有效的《人力资源服务许可证》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无重大违法、违纪书面声明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 na.gov.cn）中列入重大税收违法失信主体的供应商；不得为“中国执行信息公开网”（https://zxgk.court.gov.cn）中列入失信被执行人名单的供应商；不得为“中国政府采购网”（www.cc 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单位负责人为同一人或者存在直接控股、管理关系的不同供应商，不得同时参加同一合同项下的政府采购活动。</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供应商应授权合法的人员参加投标全过程,其中法定代表人或其他组织负责人直接参加投标的 , 须出具法人身份证并与营业执照上信息一致或其他组织负责人身份证。授权代表参加投标的，须出具法定代表人或其他组织负责人授权书及授权代表身份证。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政府采购供应商拒绝政府采购领域商业贿赂承诺书.pdf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与营业执照或其他主体证明资料一致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响应文件按照磋商文件要求进行签署、盖章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一年(如服务良好，经甲方确认，以服务期为单位可续签，但续签最多不超过两个服务期）</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磋商保证金.pdf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完全理解并接受磋商文件的约束</w:t>
            </w:r>
          </w:p>
        </w:tc>
        <w:tc>
          <w:tcPr>
            <w:tcW w:type="dxa" w:w="1661"/>
          </w:tcPr>
          <w:p>
            <w:pPr>
              <w:pStyle w:val="null3"/>
            </w:pPr>
            <w:r>
              <w:rPr>
                <w:rFonts w:ascii="仿宋_GB2312" w:hAnsi="仿宋_GB2312" w:cs="仿宋_GB2312" w:eastAsia="仿宋_GB2312"/>
              </w:rPr>
              <w:t>商务应答表.pdf 供应商认为需要提供的其他资料.pdf 服务内容及服务要求应答表.pdf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项目概况及理解</w:t>
            </w:r>
          </w:p>
        </w:tc>
        <w:tc>
          <w:tcPr>
            <w:tcW w:type="dxa" w:w="2492"/>
          </w:tcPr>
          <w:p>
            <w:pPr>
              <w:pStyle w:val="null3"/>
            </w:pPr>
            <w:r>
              <w:rPr>
                <w:rFonts w:ascii="仿宋_GB2312" w:hAnsi="仿宋_GB2312" w:cs="仿宋_GB2312" w:eastAsia="仿宋_GB2312"/>
              </w:rPr>
              <w:t>一、评分内容：针对本项目提出适用于本项目的需求响应方案，包括：①项目理解②需求分析③项目重难点分析 二、评分标准：1、完整性：方案必须全面，对评审内容中的各项要求有详细描述；2、可实施性 ：切合本项目实际情况，提出步骤清晰、合理的方案；3、针对性：方案能够紧扣项目实际情况，内容 科学合理。 三、赋分标准(满分15分)：①项目理解：每完全满足一个评审标准得 2分，未完全满足得0- 1.9分，满分6分； ②需求分析：每完全满足一个 评审标准得 2分，未完全满足得0- 1.9分，满分6分； ③ 项目重难点分析：每完全满足一个评审标准得1 分，未完全满足得0- 0.9分，满分3分。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项目概况及理解.pdf</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一、评分内容：针对采购需求提出适用于本项目的措施方案，方案包括：①质量保证措施②进度控制措施③安全保障措施 二、评分标准：1、完整性：方案必须全面，对评审内容中的各项要求有详细描述； 2、可实施性：切合本项目实际情况，提出步骤清晰、合理的方案； 3、针对性：方案能够紧扣项目实际情况，内容科学合理。 三、赋分标准（满分12分）①质量保证措施：每完全满足一个评审标准得1分，未完全满足一个评审标准得0-0.9分，满分3分； ②进度控制措施：每完全满足一个评审标准得2分，未完全满足一个评审标准得0-1.9分，满分6分； ③安全管理措施：每完全满足一个评审标准得1分，未完全满足一个评审标准得0-0.9分，满分3分。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相关管理措施.pdf</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一、评分内容：根据磋商文内容及要求列出具体的服务方案，包括：①服务目标②服务计划③服务标准④服务理念及特色。 二、评分标准： 完整性：方案必须全面，对评审内容中的各项要求有详细描述； 可实施性：切合本项目实际情况，提出步骤清晰、合理的方案； 针对性：方案能够紧扣项目实际情况，内容科学合理。 三、赋分标准(满分12分)： ①服务目标：每完全满足一个评审标准得1分，满分3分； ②服务计划：每完全满足一个评审标准得1分，满分3分； ③服务标准：每完全满足一个评审标准得1分，满分3分； ④服务理念及特色：每完全满足一个评审标准得1分，满分3分；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一、评分内容：针对本项目提出适用于本项目的服务方案，方案包括：①服务承诺②应急预案③应急保障措施 二、评分标准： 1、完整性：方案必须全面，对评审内容中的各项要求有详细描述； 2、可实施性：切合本项目实际情况，提出步骤清晰、合理的方案； 3、针对性：方案能够紧扣项目实际情况，内容科学合理。 三、赋分标准(满分：15分)： ①服务承诺：每完全满足一个评审标准得1分，未完全满足得0-0.9分，满分3分；②应急预案：每完全满足一个评审标准得2分，未完全满足一个评审标准得0-1.9分，满分6分； ③应急保障措施：每完全满足一个评审标准得2分，未完全满足一个评审标准得0-1.9分，满分6分。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服务承诺及应急管理.pdf</w:t>
            </w:r>
          </w:p>
        </w:tc>
      </w:tr>
      <w:tr>
        <w:tc>
          <w:tcPr>
            <w:tcW w:type="dxa" w:w="831"/>
            <w:vMerge/>
          </w:tcPr>
          <w:p/>
        </w:tc>
        <w:tc>
          <w:tcPr>
            <w:tcW w:type="dxa" w:w="1661"/>
          </w:tcPr>
          <w:p>
            <w:pPr>
              <w:pStyle w:val="null3"/>
            </w:pPr>
            <w:r>
              <w:rPr>
                <w:rFonts w:ascii="仿宋_GB2312" w:hAnsi="仿宋_GB2312" w:cs="仿宋_GB2312" w:eastAsia="仿宋_GB2312"/>
              </w:rPr>
              <w:t>服务团队及人员配备</w:t>
            </w:r>
          </w:p>
        </w:tc>
        <w:tc>
          <w:tcPr>
            <w:tcW w:type="dxa" w:w="2492"/>
          </w:tcPr>
          <w:p>
            <w:pPr>
              <w:pStyle w:val="null3"/>
            </w:pPr>
            <w:r>
              <w:rPr>
                <w:rFonts w:ascii="仿宋_GB2312" w:hAnsi="仿宋_GB2312" w:cs="仿宋_GB2312" w:eastAsia="仿宋_GB2312"/>
              </w:rPr>
              <w:t>一、评分内容：针对本项目提出适用于本项目的项目团队配置方案，包括：①团队人员各专业岗位配置②团队人员管理制度。 二、评分标准： 1、完整性：方案必须全面，对评审内容中的各项要求有详细描述； 2、可实施性：切合本项目实际情况，提出步骤清晰、合理的方案； 3、针对性：方案能够紧扣项目实际情况，内容科学合理。 三、赋分标准(满分：12分)： ①团队人员各专业岗位配置：每完全满足一个评审标准得2分，未完全满足一个评审标准要求综合赋分0-1.9分，满分6分； ②团队人员管理制度：每完全满足一个评审标准得2分，未完全满足一个评审标准要求综合赋分0-1.9分，满分6分。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服务团队及人员配备.pdf</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合理化建议.pdf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供应商提供近2022年11月至今类似项目业绩，每项业绩得5分，最高得10分。 注：业绩须提供合同复印件或成交/中标通知书(加盖供应商公章)。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价格分统一采用低价优先法计算，即满足磋商文件要求且磋商价格最低的磋商报价为投标基准价，其价格分为满分。其他供应商的价格分统一按照下列公式计算： 磋商报价得分=(投标基准价／最终报价)×20 计算分数时四舍五入取小数点后两位 注：本项目专门面向中小企业，故不再进行价格分扣除。</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详见附件：磋商保证金.pdf</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详见附件：服务承诺及应急管理.pdf</w:t>
      </w:r>
    </w:p>
    <w:p>
      <w:pPr>
        <w:pStyle w:val="null3"/>
        <w:ind w:firstLine="960"/>
      </w:pPr>
      <w:r>
        <w:rPr>
          <w:rFonts w:ascii="仿宋_GB2312" w:hAnsi="仿宋_GB2312" w:cs="仿宋_GB2312" w:eastAsia="仿宋_GB2312"/>
        </w:rPr>
        <w:t>详见附件：服务方案.pdf</w:t>
      </w:r>
    </w:p>
    <w:p>
      <w:pPr>
        <w:pStyle w:val="null3"/>
        <w:ind w:firstLine="960"/>
      </w:pPr>
      <w:r>
        <w:rPr>
          <w:rFonts w:ascii="仿宋_GB2312" w:hAnsi="仿宋_GB2312" w:cs="仿宋_GB2312" w:eastAsia="仿宋_GB2312"/>
        </w:rPr>
        <w:t>详见附件：服务团队及人员配备.pdf</w:t>
      </w:r>
    </w:p>
    <w:p>
      <w:pPr>
        <w:pStyle w:val="null3"/>
        <w:ind w:firstLine="960"/>
      </w:pPr>
      <w:r>
        <w:rPr>
          <w:rFonts w:ascii="仿宋_GB2312" w:hAnsi="仿宋_GB2312" w:cs="仿宋_GB2312" w:eastAsia="仿宋_GB2312"/>
        </w:rPr>
        <w:t>详见附件：相关管理措施.pdf</w:t>
      </w:r>
    </w:p>
    <w:p>
      <w:pPr>
        <w:pStyle w:val="null3"/>
        <w:ind w:firstLine="960"/>
      </w:pPr>
      <w:r>
        <w:rPr>
          <w:rFonts w:ascii="仿宋_GB2312" w:hAnsi="仿宋_GB2312" w:cs="仿宋_GB2312" w:eastAsia="仿宋_GB2312"/>
        </w:rPr>
        <w:t>详见附件：项目概况及理解.pdf</w:t>
      </w:r>
    </w:p>
    <w:p>
      <w:pPr>
        <w:pStyle w:val="null3"/>
        <w:ind w:firstLine="960"/>
      </w:pPr>
      <w:r>
        <w:rPr>
          <w:rFonts w:ascii="仿宋_GB2312" w:hAnsi="仿宋_GB2312" w:cs="仿宋_GB2312" w:eastAsia="仿宋_GB2312"/>
        </w:rPr>
        <w:t>详见附件：合理化建议.pdf</w:t>
      </w:r>
    </w:p>
    <w:p>
      <w:pPr>
        <w:pStyle w:val="null3"/>
        <w:ind w:firstLine="960"/>
      </w:pPr>
      <w:r>
        <w:rPr>
          <w:rFonts w:ascii="仿宋_GB2312" w:hAnsi="仿宋_GB2312" w:cs="仿宋_GB2312" w:eastAsia="仿宋_GB2312"/>
        </w:rPr>
        <w:t>详见附件：供应商认为需要提供的其他资料.pdf</w:t>
      </w:r>
    </w:p>
    <w:p>
      <w:pPr>
        <w:pStyle w:val="null3"/>
        <w:ind w:firstLine="960"/>
      </w:pPr>
      <w:r>
        <w:rPr>
          <w:rFonts w:ascii="仿宋_GB2312" w:hAnsi="仿宋_GB2312" w:cs="仿宋_GB2312" w:eastAsia="仿宋_GB2312"/>
        </w:rPr>
        <w:t>详见附件：服务内容及服务要求应答表.pdf</w:t>
      </w:r>
    </w:p>
    <w:p>
      <w:pPr>
        <w:pStyle w:val="null3"/>
        <w:ind w:firstLine="960"/>
      </w:pPr>
      <w:r>
        <w:rPr>
          <w:rFonts w:ascii="仿宋_GB2312" w:hAnsi="仿宋_GB2312" w:cs="仿宋_GB2312" w:eastAsia="仿宋_GB2312"/>
        </w:rPr>
        <w:t>详见附件：商务应答表.pdf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详见附件：业绩表.pdf</w:t>
      </w:r>
    </w:p>
    <w:p>
      <w:pPr>
        <w:pStyle w:val="null3"/>
        <w:ind w:firstLine="960"/>
      </w:pPr>
      <w:r>
        <w:rPr>
          <w:rFonts w:ascii="仿宋_GB2312" w:hAnsi="仿宋_GB2312" w:cs="仿宋_GB2312" w:eastAsia="仿宋_GB2312"/>
        </w:rPr>
        <w:t>详见附件：政府采购供应商拒绝政府采购领域商业贿赂承诺书.pdf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详见附件：合同协议书docx.docx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