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E4584">
      <w:pPr>
        <w:outlineLvl w:val="1"/>
        <w:rPr>
          <w:rFonts w:hAnsi="宋体" w:cs="宋体"/>
          <w:b/>
          <w:sz w:val="32"/>
          <w:szCs w:val="32"/>
          <w:highlight w:val="none"/>
        </w:rPr>
      </w:pPr>
      <w:bookmarkStart w:id="0" w:name="_Toc1362"/>
      <w:bookmarkStart w:id="1" w:name="_Toc18120"/>
      <w:bookmarkStart w:id="2" w:name="_Toc7874"/>
      <w:bookmarkStart w:id="3" w:name="_Toc5216"/>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4EC1B5F2">
      <w:pPr>
        <w:rPr>
          <w:rFonts w:hAnsi="宋体" w:cs="宋体"/>
          <w:b/>
          <w:sz w:val="32"/>
          <w:szCs w:val="32"/>
          <w:highlight w:val="none"/>
        </w:rPr>
      </w:pPr>
      <w:r>
        <w:rPr>
          <w:rFonts w:hint="eastAsia" w:hAnsi="宋体" w:cs="宋体"/>
          <w:b/>
          <w:sz w:val="32"/>
          <w:szCs w:val="32"/>
          <w:highlight w:val="none"/>
        </w:rPr>
        <w:t xml:space="preserve">          </w:t>
      </w:r>
    </w:p>
    <w:p w14:paraId="7249D392">
      <w:pPr>
        <w:jc w:val="center"/>
        <w:rPr>
          <w:rFonts w:hAnsi="宋体" w:cs="宋体"/>
          <w:sz w:val="52"/>
          <w:szCs w:val="52"/>
          <w:highlight w:val="none"/>
        </w:rPr>
      </w:pPr>
    </w:p>
    <w:p w14:paraId="0C9F858D">
      <w:pPr>
        <w:jc w:val="center"/>
        <w:rPr>
          <w:rFonts w:hAnsi="宋体" w:cs="宋体"/>
          <w:sz w:val="52"/>
          <w:szCs w:val="52"/>
          <w:highlight w:val="none"/>
        </w:rPr>
      </w:pPr>
    </w:p>
    <w:p w14:paraId="38273A40">
      <w:pPr>
        <w:jc w:val="center"/>
        <w:rPr>
          <w:rFonts w:hAnsi="宋体" w:cs="宋体"/>
          <w:b/>
          <w:sz w:val="72"/>
          <w:szCs w:val="72"/>
          <w:highlight w:val="none"/>
        </w:rPr>
      </w:pPr>
      <w:r>
        <w:rPr>
          <w:rFonts w:hint="eastAsia" w:hAnsi="宋体" w:cs="宋体"/>
          <w:b/>
          <w:sz w:val="72"/>
          <w:szCs w:val="72"/>
          <w:highlight w:val="none"/>
        </w:rPr>
        <w:t>服 务 合 同</w:t>
      </w:r>
    </w:p>
    <w:p w14:paraId="49F7161B">
      <w:pPr>
        <w:jc w:val="center"/>
        <w:rPr>
          <w:rFonts w:hAnsi="宋体" w:cs="宋体"/>
          <w:sz w:val="30"/>
          <w:szCs w:val="30"/>
          <w:highlight w:val="none"/>
        </w:rPr>
      </w:pPr>
    </w:p>
    <w:p w14:paraId="4022A1A9">
      <w:pPr>
        <w:jc w:val="center"/>
        <w:rPr>
          <w:rFonts w:hAnsi="宋体" w:cs="宋体"/>
          <w:sz w:val="30"/>
          <w:szCs w:val="30"/>
          <w:highlight w:val="none"/>
        </w:rPr>
      </w:pPr>
    </w:p>
    <w:p w14:paraId="3E211F88">
      <w:pPr>
        <w:jc w:val="center"/>
        <w:rPr>
          <w:rFonts w:hAnsi="宋体" w:cs="宋体"/>
          <w:sz w:val="30"/>
          <w:szCs w:val="30"/>
          <w:highlight w:val="none"/>
        </w:rPr>
      </w:pPr>
    </w:p>
    <w:p w14:paraId="7084AD86">
      <w:pPr>
        <w:jc w:val="center"/>
        <w:rPr>
          <w:rFonts w:hAnsi="宋体" w:cs="宋体"/>
          <w:sz w:val="30"/>
          <w:szCs w:val="30"/>
          <w:highlight w:val="none"/>
        </w:rPr>
      </w:pPr>
    </w:p>
    <w:p w14:paraId="74B81810">
      <w:pPr>
        <w:jc w:val="center"/>
        <w:rPr>
          <w:rFonts w:hAnsi="宋体" w:cs="宋体"/>
          <w:sz w:val="30"/>
          <w:szCs w:val="30"/>
          <w:highlight w:val="none"/>
        </w:rPr>
      </w:pPr>
    </w:p>
    <w:p w14:paraId="01CDE1A1">
      <w:pPr>
        <w:jc w:val="center"/>
        <w:rPr>
          <w:rFonts w:hAnsi="宋体" w:cs="宋体"/>
          <w:sz w:val="30"/>
          <w:szCs w:val="30"/>
          <w:highlight w:val="none"/>
        </w:rPr>
      </w:pPr>
    </w:p>
    <w:p w14:paraId="2AF8AE57">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u w:val="single"/>
          <w:lang w:val="en-US"/>
        </w:rPr>
      </w:pPr>
      <w:r>
        <w:rPr>
          <w:rFonts w:hint="eastAsia" w:ascii="宋体" w:hAnsi="宋体" w:eastAsia="宋体" w:cs="Times New Roman"/>
          <w:color w:val="auto"/>
          <w:sz w:val="24"/>
          <w:szCs w:val="24"/>
          <w:highlight w:val="none"/>
        </w:rPr>
        <w:t>项目名称：</w:t>
      </w:r>
      <w:r>
        <w:rPr>
          <w:rFonts w:hint="eastAsia" w:ascii="宋体" w:hAnsi="宋体" w:eastAsia="宋体" w:cs="Times New Roman"/>
          <w:color w:val="auto"/>
          <w:sz w:val="24"/>
          <w:szCs w:val="24"/>
          <w:highlight w:val="none"/>
          <w:u w:val="single"/>
          <w:lang w:val="en-US" w:eastAsia="zh-CN"/>
        </w:rPr>
        <w:t xml:space="preserve">                                      </w:t>
      </w:r>
    </w:p>
    <w:p w14:paraId="4E16BAE9">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项目编号：</w:t>
      </w:r>
      <w:r>
        <w:rPr>
          <w:rFonts w:hint="eastAsia" w:ascii="宋体" w:hAnsi="宋体" w:eastAsia="宋体" w:cs="Times New Roman"/>
          <w:color w:val="auto"/>
          <w:sz w:val="24"/>
          <w:szCs w:val="24"/>
          <w:highlight w:val="none"/>
          <w:u w:val="single"/>
          <w:lang w:val="en-US" w:eastAsia="zh-CN"/>
        </w:rPr>
        <w:t xml:space="preserve">                                     </w:t>
      </w:r>
    </w:p>
    <w:p w14:paraId="0239CEB4">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rPr>
        <w:t>甲方（采购人）：</w:t>
      </w:r>
      <w:r>
        <w:rPr>
          <w:rFonts w:hint="eastAsia" w:ascii="宋体" w:hAnsi="宋体" w:eastAsia="宋体" w:cs="Times New Roman"/>
          <w:color w:val="auto"/>
          <w:sz w:val="24"/>
          <w:szCs w:val="24"/>
          <w:highlight w:val="none"/>
          <w:u w:val="single"/>
          <w:lang w:val="en-US" w:eastAsia="zh-CN"/>
        </w:rPr>
        <w:t xml:space="preserve">                                  </w:t>
      </w:r>
    </w:p>
    <w:p w14:paraId="183BE486">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乙方（中标人）：</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8C81FDF">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签订地：</w:t>
      </w:r>
      <w:r>
        <w:rPr>
          <w:rFonts w:hint="eastAsia" w:ascii="宋体" w:hAnsi="宋体" w:eastAsia="宋体" w:cs="Times New Roman"/>
          <w:color w:val="auto"/>
          <w:sz w:val="24"/>
          <w:szCs w:val="24"/>
          <w:highlight w:val="none"/>
          <w:u w:val="single"/>
        </w:rPr>
        <w:t xml:space="preserve">                                     </w:t>
      </w:r>
    </w:p>
    <w:p w14:paraId="21B11BDF">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签订日期：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14:paraId="2ECE830D">
      <w:pPr>
        <w:jc w:val="center"/>
        <w:rPr>
          <w:rFonts w:hAnsi="宋体" w:cs="宋体"/>
          <w:sz w:val="30"/>
          <w:szCs w:val="30"/>
          <w:highlight w:val="none"/>
        </w:rPr>
      </w:pPr>
    </w:p>
    <w:p w14:paraId="753BE56D">
      <w:pPr>
        <w:pStyle w:val="2"/>
        <w:rPr>
          <w:rFonts w:hAnsi="宋体" w:cs="宋体"/>
          <w:sz w:val="30"/>
          <w:szCs w:val="30"/>
          <w:highlight w:val="none"/>
        </w:rPr>
      </w:pPr>
    </w:p>
    <w:p w14:paraId="0ACEE5D2">
      <w:pPr>
        <w:pStyle w:val="2"/>
      </w:pPr>
    </w:p>
    <w:p w14:paraId="4F457989">
      <w:pPr>
        <w:jc w:val="center"/>
        <w:outlineLvl w:val="2"/>
        <w:rPr>
          <w:rFonts w:ascii="黑体"/>
          <w:b/>
          <w:sz w:val="36"/>
          <w:szCs w:val="36"/>
          <w:highlight w:val="none"/>
        </w:rPr>
      </w:pPr>
      <w:bookmarkStart w:id="4" w:name="_Toc28398"/>
      <w:bookmarkStart w:id="5" w:name="_Toc7965"/>
      <w:r>
        <w:rPr>
          <w:rFonts w:hint="eastAsia" w:ascii="黑体" w:eastAsia="黑体"/>
          <w:b/>
          <w:sz w:val="36"/>
          <w:szCs w:val="36"/>
          <w:highlight w:val="none"/>
          <w:lang w:eastAsia="zh-CN"/>
        </w:rPr>
        <w:t>一、</w:t>
      </w:r>
      <w:r>
        <w:rPr>
          <w:rFonts w:hint="eastAsia" w:ascii="黑体" w:eastAsia="黑体"/>
          <w:b/>
          <w:sz w:val="36"/>
          <w:szCs w:val="36"/>
          <w:highlight w:val="none"/>
        </w:rPr>
        <w:t>协 议 书</w:t>
      </w:r>
      <w:bookmarkEnd w:id="4"/>
      <w:bookmarkEnd w:id="5"/>
    </w:p>
    <w:p w14:paraId="7EFE1ABC">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114050B6">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7B813F82">
      <w:pPr>
        <w:spacing w:line="360" w:lineRule="auto"/>
        <w:ind w:firstLine="480" w:firstLineChars="200"/>
        <w:rPr>
          <w:rFonts w:hAnsi="宋体" w:cs="宋体"/>
          <w:szCs w:val="21"/>
          <w:highlight w:val="none"/>
        </w:rPr>
      </w:pPr>
      <w:r>
        <w:rPr>
          <w:rFonts w:hint="eastAsia" w:hAnsi="宋体" w:cs="宋体"/>
          <w:szCs w:val="21"/>
          <w:highlight w:val="none"/>
        </w:rPr>
        <w:t>根据《</w:t>
      </w:r>
      <w:r>
        <w:rPr>
          <w:rFonts w:hint="eastAsia" w:hAnsi="宋体" w:cs="宋体"/>
          <w:szCs w:val="24"/>
          <w:highlight w:val="none"/>
        </w:rPr>
        <w:t>中华人民共和国民法典</w:t>
      </w:r>
      <w:r>
        <w:rPr>
          <w:rFonts w:hint="eastAsia" w:hAnsi="宋体" w:cs="宋体"/>
          <w:szCs w:val="21"/>
          <w:highlight w:val="none"/>
        </w:rPr>
        <w:t>》、《中华人民共和国政府采购法》与项目行业有关的法律法规，以及本项目（</w:t>
      </w:r>
      <w:r>
        <w:rPr>
          <w:rFonts w:hint="eastAsia" w:hAnsi="宋体" w:cs="宋体"/>
          <w:szCs w:val="21"/>
          <w:highlight w:val="none"/>
          <w:u w:val="single"/>
          <w:lang w:eastAsia="zh-CN"/>
        </w:rPr>
        <w:t>渭南市临渭区零工市场运营服务项目</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渭南市临渭区零工市场运营服务项目</w:t>
      </w:r>
      <w:r>
        <w:rPr>
          <w:rFonts w:hint="eastAsia" w:hAnsi="宋体" w:cs="宋体"/>
          <w:szCs w:val="21"/>
          <w:highlight w:val="none"/>
        </w:rPr>
        <w:t>协商达成一致，确立本合同。</w:t>
      </w:r>
    </w:p>
    <w:p w14:paraId="6823E659">
      <w:pPr>
        <w:spacing w:line="360" w:lineRule="auto"/>
        <w:ind w:firstLine="437"/>
        <w:outlineLvl w:val="2"/>
        <w:rPr>
          <w:rFonts w:ascii="宋体" w:hAnsi="宋体" w:eastAsia="宋体" w:cs="Times New Roman"/>
          <w:b/>
          <w:bCs/>
          <w:color w:val="auto"/>
          <w:sz w:val="24"/>
          <w:szCs w:val="24"/>
          <w:highlight w:val="none"/>
          <w:lang w:val="zh-CN"/>
        </w:rPr>
      </w:pPr>
      <w:bookmarkStart w:id="6" w:name="_Toc24059"/>
      <w:bookmarkStart w:id="7" w:name="_Toc2232"/>
      <w:bookmarkStart w:id="8" w:name="_Toc3029"/>
      <w:r>
        <w:rPr>
          <w:rFonts w:hint="eastAsia" w:ascii="宋体" w:hAnsi="宋体" w:eastAsia="宋体" w:cs="Times New Roman"/>
          <w:b/>
          <w:bCs/>
          <w:color w:val="auto"/>
          <w:sz w:val="24"/>
          <w:szCs w:val="24"/>
          <w:highlight w:val="none"/>
          <w:lang w:val="zh-CN"/>
        </w:rPr>
        <w:t>1.1</w:t>
      </w:r>
      <w:r>
        <w:rPr>
          <w:rFonts w:ascii="宋体" w:hAnsi="宋体" w:eastAsia="宋体" w:cs="Times New Roman"/>
          <w:b/>
          <w:bCs/>
          <w:color w:val="auto"/>
          <w:sz w:val="24"/>
          <w:szCs w:val="24"/>
          <w:highlight w:val="none"/>
          <w:lang w:val="zh-CN"/>
        </w:rPr>
        <w:t xml:space="preserve"> </w:t>
      </w:r>
      <w:r>
        <w:rPr>
          <w:rFonts w:hint="eastAsia" w:ascii="宋体" w:hAnsi="宋体" w:eastAsia="宋体" w:cs="Times New Roman"/>
          <w:b/>
          <w:bCs/>
          <w:color w:val="auto"/>
          <w:sz w:val="24"/>
          <w:szCs w:val="24"/>
          <w:highlight w:val="none"/>
          <w:lang w:val="zh-CN"/>
        </w:rPr>
        <w:t>合同组成部分</w:t>
      </w:r>
      <w:bookmarkEnd w:id="6"/>
      <w:bookmarkEnd w:id="7"/>
      <w:bookmarkEnd w:id="8"/>
    </w:p>
    <w:p w14:paraId="779611B4">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14:paraId="5B5387D6">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1.1.1本合同及其补充合同、变更协议；</w:t>
      </w:r>
    </w:p>
    <w:p w14:paraId="46B9210C">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1.1.2中标通知书；</w:t>
      </w:r>
    </w:p>
    <w:p w14:paraId="708C4A89">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1.1.3响应文件（含澄清或者说明文件）；</w:t>
      </w:r>
    </w:p>
    <w:p w14:paraId="645EA0C4">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1.1.4磋商文件（含澄清或者修改文件）；</w:t>
      </w:r>
    </w:p>
    <w:p w14:paraId="4CA20597">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1.1.5其他相关采购文件。</w:t>
      </w:r>
    </w:p>
    <w:p w14:paraId="5008AC1C">
      <w:pPr>
        <w:spacing w:line="360" w:lineRule="auto"/>
        <w:ind w:firstLine="437"/>
        <w:outlineLvl w:val="2"/>
        <w:rPr>
          <w:rFonts w:ascii="宋体" w:hAnsi="宋体" w:eastAsia="宋体" w:cs="Times New Roman"/>
          <w:b/>
          <w:bCs/>
          <w:color w:val="auto"/>
          <w:sz w:val="24"/>
          <w:szCs w:val="24"/>
          <w:highlight w:val="none"/>
          <w:lang w:val="zh-CN"/>
        </w:rPr>
      </w:pPr>
      <w:bookmarkStart w:id="9" w:name="_Toc18585"/>
      <w:bookmarkStart w:id="10" w:name="_Toc6773"/>
      <w:bookmarkStart w:id="11" w:name="_Toc22185"/>
      <w:bookmarkStart w:id="12" w:name="_Toc2918"/>
      <w:bookmarkStart w:id="13" w:name="_Toc6311"/>
      <w:r>
        <w:rPr>
          <w:rFonts w:hint="eastAsia" w:ascii="宋体" w:hAnsi="宋体" w:eastAsia="宋体" w:cs="Times New Roman"/>
          <w:b/>
          <w:bCs/>
          <w:color w:val="auto"/>
          <w:sz w:val="24"/>
          <w:szCs w:val="24"/>
          <w:highlight w:val="none"/>
          <w:lang w:val="zh-CN"/>
        </w:rPr>
        <w:t xml:space="preserve">1.2 </w:t>
      </w:r>
      <w:bookmarkEnd w:id="9"/>
      <w:bookmarkEnd w:id="10"/>
      <w:bookmarkEnd w:id="11"/>
      <w:bookmarkEnd w:id="12"/>
      <w:bookmarkEnd w:id="13"/>
      <w:r>
        <w:rPr>
          <w:rFonts w:hint="eastAsia" w:ascii="宋体" w:hAnsi="宋体" w:eastAsia="宋体" w:cs="Times New Roman"/>
          <w:b/>
          <w:bCs/>
          <w:color w:val="auto"/>
          <w:sz w:val="24"/>
          <w:szCs w:val="24"/>
          <w:highlight w:val="none"/>
          <w:lang w:val="zh-CN"/>
        </w:rPr>
        <w:t>服务</w:t>
      </w:r>
    </w:p>
    <w:p w14:paraId="19BF411A">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1.2.1服务</w:t>
      </w:r>
      <w:r>
        <w:rPr>
          <w:rFonts w:ascii="宋体" w:hAnsi="宋体" w:eastAsia="宋体" w:cs="Times New Roman"/>
          <w:color w:val="auto"/>
          <w:sz w:val="24"/>
          <w:szCs w:val="24"/>
          <w:highlight w:val="none"/>
        </w:rPr>
        <w:t>名称：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074F0871">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1.2.2服务内容</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68314F2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1.2.3服务质量：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4515B071">
      <w:pPr>
        <w:spacing w:line="360" w:lineRule="auto"/>
        <w:ind w:firstLine="437"/>
        <w:outlineLvl w:val="2"/>
        <w:rPr>
          <w:rFonts w:ascii="宋体" w:hAnsi="宋体" w:eastAsia="宋体" w:cs="Times New Roman"/>
          <w:b/>
          <w:bCs/>
          <w:color w:val="auto"/>
          <w:sz w:val="24"/>
          <w:szCs w:val="24"/>
          <w:highlight w:val="none"/>
          <w:lang w:val="zh-CN"/>
        </w:rPr>
      </w:pPr>
      <w:bookmarkStart w:id="14" w:name="_Toc21631"/>
      <w:bookmarkStart w:id="15" w:name="_Toc23292"/>
      <w:bookmarkStart w:id="16" w:name="_Toc21551"/>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 xml:space="preserve">3 </w:t>
      </w:r>
      <w:r>
        <w:rPr>
          <w:rFonts w:hint="eastAsia" w:ascii="宋体" w:hAnsi="宋体" w:eastAsia="宋体" w:cs="Times New Roman"/>
          <w:b/>
          <w:bCs/>
          <w:color w:val="auto"/>
          <w:sz w:val="24"/>
          <w:szCs w:val="24"/>
          <w:highlight w:val="none"/>
          <w:lang w:val="zh-CN"/>
        </w:rPr>
        <w:t>价款</w:t>
      </w:r>
      <w:bookmarkEnd w:id="14"/>
      <w:bookmarkEnd w:id="15"/>
      <w:bookmarkEnd w:id="16"/>
    </w:p>
    <w:p w14:paraId="0690C4AB">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本合同总价为</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（大写：人民币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r>
        <w:rPr>
          <w:rFonts w:ascii="宋体" w:hAnsi="宋体" w:eastAsia="宋体" w:cs="Times New Roman"/>
          <w:color w:val="auto"/>
          <w:sz w:val="24"/>
          <w:szCs w:val="24"/>
          <w:highlight w:val="none"/>
        </w:rPr>
        <w:t>。</w:t>
      </w:r>
    </w:p>
    <w:p w14:paraId="33774BDF">
      <w:pPr>
        <w:spacing w:line="360" w:lineRule="auto"/>
        <w:ind w:firstLine="435"/>
        <w:rPr>
          <w:rFonts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4316"/>
        <w:gridCol w:w="12"/>
        <w:gridCol w:w="3225"/>
        <w:gridCol w:w="12"/>
      </w:tblGrid>
      <w:tr w14:paraId="134B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noWrap w:val="0"/>
            <w:vAlign w:val="center"/>
          </w:tcPr>
          <w:p w14:paraId="2E1BD7F6">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lang w:val="zh-CN"/>
              </w:rPr>
            </w:pPr>
            <w:r>
              <w:rPr>
                <w:rFonts w:hint="default" w:ascii="宋体" w:hAnsi="宋体" w:eastAsia="宋体" w:cs="Times New Roman"/>
                <w:color w:val="auto"/>
                <w:sz w:val="24"/>
                <w:szCs w:val="24"/>
                <w:highlight w:val="none"/>
                <w:lang w:val="zh-CN"/>
              </w:rPr>
              <w:t>序号</w:t>
            </w:r>
          </w:p>
        </w:tc>
        <w:tc>
          <w:tcPr>
            <w:tcW w:w="4316" w:type="dxa"/>
            <w:noWrap w:val="0"/>
            <w:vAlign w:val="center"/>
          </w:tcPr>
          <w:p w14:paraId="4F14BBE3">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分项名称</w:t>
            </w:r>
          </w:p>
        </w:tc>
        <w:tc>
          <w:tcPr>
            <w:tcW w:w="3237" w:type="dxa"/>
            <w:gridSpan w:val="2"/>
            <w:noWrap w:val="0"/>
            <w:vAlign w:val="center"/>
          </w:tcPr>
          <w:p w14:paraId="584D2A85">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rPr>
              <w:t>分项价格</w:t>
            </w:r>
          </w:p>
        </w:tc>
      </w:tr>
      <w:tr w14:paraId="7ECC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noWrap w:val="0"/>
            <w:vAlign w:val="top"/>
          </w:tcPr>
          <w:p w14:paraId="3033EE73">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w:t>
            </w:r>
          </w:p>
        </w:tc>
        <w:tc>
          <w:tcPr>
            <w:tcW w:w="4316" w:type="dxa"/>
            <w:noWrap w:val="0"/>
            <w:vAlign w:val="center"/>
          </w:tcPr>
          <w:p w14:paraId="18A04DD6">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c>
          <w:tcPr>
            <w:tcW w:w="3237" w:type="dxa"/>
            <w:gridSpan w:val="2"/>
            <w:noWrap w:val="0"/>
            <w:vAlign w:val="center"/>
          </w:tcPr>
          <w:p w14:paraId="5EB63E6E">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r>
      <w:tr w14:paraId="6C160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noWrap w:val="0"/>
            <w:vAlign w:val="top"/>
          </w:tcPr>
          <w:p w14:paraId="6E68553B">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2</w:t>
            </w:r>
          </w:p>
        </w:tc>
        <w:tc>
          <w:tcPr>
            <w:tcW w:w="4316" w:type="dxa"/>
            <w:noWrap w:val="0"/>
            <w:vAlign w:val="center"/>
          </w:tcPr>
          <w:p w14:paraId="5C67F4CE">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c>
          <w:tcPr>
            <w:tcW w:w="3237" w:type="dxa"/>
            <w:gridSpan w:val="2"/>
            <w:noWrap w:val="0"/>
            <w:vAlign w:val="center"/>
          </w:tcPr>
          <w:p w14:paraId="324B78B0">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r>
      <w:tr w14:paraId="251F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noWrap w:val="0"/>
            <w:vAlign w:val="top"/>
          </w:tcPr>
          <w:p w14:paraId="2CF0C5A2">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lang w:val="zh-CN"/>
              </w:rPr>
            </w:pPr>
            <w:r>
              <w:rPr>
                <w:rFonts w:hint="default" w:ascii="宋体" w:hAnsi="宋体" w:eastAsia="宋体" w:cs="Times New Roman"/>
                <w:color w:val="auto"/>
                <w:sz w:val="24"/>
                <w:szCs w:val="24"/>
                <w:highlight w:val="none"/>
                <w:lang w:val="zh-CN"/>
              </w:rPr>
              <w:t>3</w:t>
            </w:r>
          </w:p>
        </w:tc>
        <w:tc>
          <w:tcPr>
            <w:tcW w:w="4316" w:type="dxa"/>
            <w:noWrap w:val="0"/>
            <w:vAlign w:val="center"/>
          </w:tcPr>
          <w:p w14:paraId="5C61943C">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c>
          <w:tcPr>
            <w:tcW w:w="3237" w:type="dxa"/>
            <w:gridSpan w:val="2"/>
            <w:noWrap w:val="0"/>
            <w:vAlign w:val="center"/>
          </w:tcPr>
          <w:p w14:paraId="741EB4F3">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r>
      <w:tr w14:paraId="16A4A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noWrap w:val="0"/>
            <w:vAlign w:val="top"/>
          </w:tcPr>
          <w:p w14:paraId="1BFF0597">
            <w:pPr>
              <w:keepNext w:val="0"/>
              <w:keepLines w:val="0"/>
              <w:suppressLineNumbers w:val="0"/>
              <w:spacing w:before="0" w:beforeAutospacing="0" w:after="0" w:afterAutospacing="0"/>
              <w:ind w:left="0" w:right="0"/>
              <w:jc w:val="center"/>
              <w:rPr>
                <w:rFonts w:hint="default"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w:t>
            </w:r>
          </w:p>
        </w:tc>
        <w:tc>
          <w:tcPr>
            <w:tcW w:w="4316" w:type="dxa"/>
            <w:noWrap w:val="0"/>
            <w:vAlign w:val="center"/>
          </w:tcPr>
          <w:p w14:paraId="38FD5C42">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c>
          <w:tcPr>
            <w:tcW w:w="3237" w:type="dxa"/>
            <w:gridSpan w:val="2"/>
            <w:noWrap w:val="0"/>
            <w:vAlign w:val="center"/>
          </w:tcPr>
          <w:p w14:paraId="4EF4958B">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r>
      <w:tr w14:paraId="2B431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noWrap w:val="0"/>
            <w:vAlign w:val="center"/>
          </w:tcPr>
          <w:p w14:paraId="05F34526">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总价</w:t>
            </w:r>
          </w:p>
        </w:tc>
        <w:tc>
          <w:tcPr>
            <w:tcW w:w="3237" w:type="dxa"/>
            <w:gridSpan w:val="2"/>
            <w:noWrap w:val="0"/>
            <w:vAlign w:val="center"/>
          </w:tcPr>
          <w:p w14:paraId="3D2C9615">
            <w:pPr>
              <w:keepNext w:val="0"/>
              <w:keepLines w:val="0"/>
              <w:suppressLineNumbers w:val="0"/>
              <w:spacing w:before="0" w:beforeAutospacing="0" w:after="0" w:afterAutospacing="0"/>
              <w:ind w:left="0" w:right="0" w:firstLine="200"/>
              <w:jc w:val="center"/>
              <w:rPr>
                <w:rFonts w:hint="default" w:ascii="宋体" w:hAnsi="宋体" w:eastAsia="宋体" w:cs="Times New Roman"/>
                <w:color w:val="auto"/>
                <w:sz w:val="24"/>
                <w:szCs w:val="24"/>
                <w:highlight w:val="none"/>
              </w:rPr>
            </w:pPr>
          </w:p>
        </w:tc>
      </w:tr>
    </w:tbl>
    <w:p w14:paraId="6C215558">
      <w:pPr>
        <w:spacing w:line="360" w:lineRule="auto"/>
        <w:ind w:firstLine="437"/>
        <w:outlineLvl w:val="2"/>
        <w:rPr>
          <w:rFonts w:ascii="宋体" w:hAnsi="宋体" w:eastAsia="宋体" w:cs="Times New Roman"/>
          <w:b/>
          <w:bCs/>
          <w:color w:val="auto"/>
          <w:sz w:val="24"/>
          <w:szCs w:val="24"/>
          <w:highlight w:val="none"/>
          <w:lang w:val="zh-CN"/>
        </w:rPr>
      </w:pPr>
      <w:bookmarkStart w:id="17" w:name="_Toc10340"/>
      <w:bookmarkStart w:id="18" w:name="_Toc22618"/>
      <w:bookmarkStart w:id="19" w:name="_Toc1814"/>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4 付款方式和发票开具方式</w:t>
      </w:r>
      <w:bookmarkEnd w:id="17"/>
      <w:bookmarkEnd w:id="18"/>
      <w:bookmarkEnd w:id="19"/>
    </w:p>
    <w:p w14:paraId="688006EA">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1.4.1</w:t>
      </w:r>
      <w:r>
        <w:rPr>
          <w:rFonts w:ascii="宋体" w:hAnsi="宋体" w:eastAsia="宋体" w:cs="Times New Roman"/>
          <w:color w:val="auto"/>
          <w:sz w:val="24"/>
          <w:szCs w:val="24"/>
          <w:highlight w:val="none"/>
        </w:rPr>
        <w:t>付款方式：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02B25B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1.4.2发票开具方式：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7A7F5F3">
      <w:pPr>
        <w:spacing w:line="360" w:lineRule="auto"/>
        <w:ind w:firstLine="437"/>
        <w:outlineLvl w:val="2"/>
        <w:rPr>
          <w:rFonts w:ascii="宋体" w:hAnsi="宋体" w:eastAsia="宋体" w:cs="Times New Roman"/>
          <w:b/>
          <w:bCs/>
          <w:color w:val="auto"/>
          <w:sz w:val="24"/>
          <w:szCs w:val="24"/>
          <w:highlight w:val="none"/>
          <w:lang w:val="zh-CN"/>
        </w:rPr>
      </w:pPr>
      <w:bookmarkStart w:id="20" w:name="_Toc2846"/>
      <w:bookmarkStart w:id="21" w:name="_Toc19304"/>
      <w:bookmarkStart w:id="22" w:name="_Toc32071"/>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 xml:space="preserve">5 </w:t>
      </w:r>
      <w:r>
        <w:rPr>
          <w:rFonts w:hint="eastAsia" w:ascii="宋体" w:hAnsi="宋体" w:eastAsia="宋体" w:cs="Times New Roman"/>
          <w:b/>
          <w:bCs/>
          <w:color w:val="auto"/>
          <w:sz w:val="24"/>
          <w:szCs w:val="24"/>
          <w:highlight w:val="none"/>
          <w:lang w:val="zh-CN"/>
        </w:rPr>
        <w:t>服务</w:t>
      </w:r>
      <w:r>
        <w:rPr>
          <w:rFonts w:ascii="宋体" w:hAnsi="宋体" w:eastAsia="宋体" w:cs="Times New Roman"/>
          <w:b/>
          <w:bCs/>
          <w:color w:val="auto"/>
          <w:sz w:val="24"/>
          <w:szCs w:val="24"/>
          <w:highlight w:val="none"/>
          <w:lang w:val="zh-CN"/>
        </w:rPr>
        <w:t>期限</w:t>
      </w:r>
      <w:r>
        <w:rPr>
          <w:rFonts w:hint="eastAsia" w:ascii="宋体" w:hAnsi="宋体" w:eastAsia="宋体" w:cs="Times New Roman"/>
          <w:b/>
          <w:bCs/>
          <w:color w:val="auto"/>
          <w:sz w:val="24"/>
          <w:szCs w:val="24"/>
          <w:highlight w:val="none"/>
          <w:lang w:val="zh-CN"/>
        </w:rPr>
        <w:t>、地点和方式</w:t>
      </w:r>
      <w:bookmarkEnd w:id="20"/>
      <w:bookmarkEnd w:id="21"/>
      <w:bookmarkEnd w:id="22"/>
    </w:p>
    <w:p w14:paraId="10AB399B">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1.5.1服务期限</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94B5C9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1.5.2服务地点</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2E5290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1.5.3服务方式：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F833141">
      <w:pPr>
        <w:spacing w:line="360" w:lineRule="auto"/>
        <w:ind w:firstLine="437"/>
        <w:outlineLvl w:val="2"/>
        <w:rPr>
          <w:rFonts w:ascii="宋体" w:hAnsi="宋体" w:eastAsia="宋体" w:cs="Times New Roman"/>
          <w:b/>
          <w:bCs/>
          <w:color w:val="auto"/>
          <w:sz w:val="24"/>
          <w:szCs w:val="24"/>
          <w:highlight w:val="none"/>
          <w:lang w:val="zh-CN"/>
        </w:rPr>
      </w:pPr>
      <w:bookmarkStart w:id="23" w:name="_Toc21423"/>
      <w:bookmarkStart w:id="24" w:name="_Toc27250"/>
      <w:bookmarkStart w:id="25" w:name="_Toc19554"/>
      <w:r>
        <w:rPr>
          <w:rFonts w:hint="eastAsia" w:ascii="宋体" w:hAnsi="宋体" w:eastAsia="宋体" w:cs="Times New Roman"/>
          <w:b/>
          <w:bCs/>
          <w:color w:val="auto"/>
          <w:sz w:val="24"/>
          <w:szCs w:val="24"/>
          <w:highlight w:val="none"/>
          <w:lang w:val="zh-CN"/>
        </w:rPr>
        <w:t>1.6 违约责任</w:t>
      </w:r>
      <w:bookmarkEnd w:id="23"/>
      <w:bookmarkEnd w:id="24"/>
      <w:bookmarkEnd w:id="25"/>
    </w:p>
    <w:p w14:paraId="3C415B1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1.6.1</w:t>
      </w:r>
      <w:r>
        <w:rPr>
          <w:rFonts w:ascii="宋体" w:hAnsi="宋体" w:eastAsia="宋体" w:cs="Times New Roman"/>
          <w:color w:val="auto"/>
          <w:sz w:val="24"/>
          <w:szCs w:val="24"/>
          <w:highlight w:val="none"/>
        </w:rPr>
        <w:t>除不可抗力外，如果乙方没有按照本合同约定的期限</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地点和方式</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，那么甲方可要求乙方支付违约金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违约金按每迟延</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一日的应提供而未</w:t>
      </w:r>
      <w:r>
        <w:rPr>
          <w:rFonts w:hint="eastAsia" w:ascii="宋体" w:hAnsi="宋体" w:eastAsia="宋体" w:cs="Times New Roman"/>
          <w:color w:val="auto"/>
          <w:sz w:val="24"/>
          <w:szCs w:val="24"/>
          <w:highlight w:val="none"/>
        </w:rPr>
        <w:t>提供</w:t>
      </w:r>
      <w:r>
        <w:rPr>
          <w:rFonts w:ascii="宋体" w:hAnsi="宋体" w:eastAsia="宋体" w:cs="Times New Roman"/>
          <w:color w:val="auto"/>
          <w:sz w:val="24"/>
          <w:szCs w:val="24"/>
          <w:highlight w:val="none"/>
        </w:rPr>
        <w:t>服务价格的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%计算</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最高限额为</w:t>
      </w:r>
      <w:r>
        <w:rPr>
          <w:rFonts w:hint="eastAsia" w:ascii="宋体" w:hAnsi="宋体" w:eastAsia="宋体" w:cs="Times New Roman"/>
          <w:color w:val="auto"/>
          <w:sz w:val="24"/>
          <w:szCs w:val="24"/>
          <w:highlight w:val="none"/>
        </w:rPr>
        <w:t>本</w:t>
      </w:r>
      <w:r>
        <w:rPr>
          <w:rFonts w:ascii="宋体" w:hAnsi="宋体" w:eastAsia="宋体" w:cs="Times New Roman"/>
          <w:color w:val="auto"/>
          <w:sz w:val="24"/>
          <w:szCs w:val="24"/>
          <w:highlight w:val="none"/>
        </w:rPr>
        <w:t>合同总价的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10</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迟延</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的违约金计算数额达到前述最高限额之日起</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甲方有权在要求乙方支付违约金的同时</w:t>
      </w:r>
      <w:r>
        <w:rPr>
          <w:rFonts w:hint="eastAsia" w:ascii="宋体" w:hAnsi="宋体" w:eastAsia="宋体" w:cs="Times New Roman"/>
          <w:color w:val="auto"/>
          <w:sz w:val="24"/>
          <w:szCs w:val="24"/>
          <w:highlight w:val="none"/>
        </w:rPr>
        <w:t>，书面通知乙方</w:t>
      </w:r>
      <w:r>
        <w:rPr>
          <w:rFonts w:ascii="宋体" w:hAnsi="宋体" w:eastAsia="宋体" w:cs="Times New Roman"/>
          <w:color w:val="auto"/>
          <w:sz w:val="24"/>
          <w:szCs w:val="24"/>
          <w:highlight w:val="none"/>
        </w:rPr>
        <w:t>解除本合同</w:t>
      </w:r>
      <w:r>
        <w:rPr>
          <w:rFonts w:hint="eastAsia" w:ascii="宋体" w:hAnsi="宋体" w:eastAsia="宋体" w:cs="Times New Roman"/>
          <w:color w:val="auto"/>
          <w:sz w:val="24"/>
          <w:szCs w:val="24"/>
          <w:highlight w:val="none"/>
        </w:rPr>
        <w:t>；</w:t>
      </w:r>
    </w:p>
    <w:p w14:paraId="7C42FC1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1.6.2</w:t>
      </w:r>
      <w:r>
        <w:rPr>
          <w:rFonts w:ascii="宋体" w:hAnsi="宋体" w:eastAsia="宋体" w:cs="Times New Roman"/>
          <w:color w:val="auto"/>
          <w:sz w:val="24"/>
          <w:szCs w:val="24"/>
          <w:highlight w:val="none"/>
        </w:rPr>
        <w:t>除不可抗力外，如果甲方没有按照本合同约定的付款方式付款，那么乙方可要求甲方支付违约金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违约金按每迟延</w:t>
      </w:r>
      <w:r>
        <w:rPr>
          <w:rFonts w:hint="eastAsia" w:ascii="宋体" w:hAnsi="宋体" w:eastAsia="宋体" w:cs="Times New Roman"/>
          <w:color w:val="auto"/>
          <w:sz w:val="24"/>
          <w:szCs w:val="24"/>
          <w:highlight w:val="none"/>
        </w:rPr>
        <w:t>付款</w:t>
      </w:r>
      <w:r>
        <w:rPr>
          <w:rFonts w:ascii="宋体" w:hAnsi="宋体" w:eastAsia="宋体" w:cs="Times New Roman"/>
          <w:color w:val="auto"/>
          <w:sz w:val="24"/>
          <w:szCs w:val="24"/>
          <w:highlight w:val="none"/>
        </w:rPr>
        <w:t>一日的应付而未付款的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0.1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%计算</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最高限额为</w:t>
      </w:r>
      <w:r>
        <w:rPr>
          <w:rFonts w:hint="eastAsia" w:ascii="宋体" w:hAnsi="宋体" w:eastAsia="宋体" w:cs="Times New Roman"/>
          <w:color w:val="auto"/>
          <w:sz w:val="24"/>
          <w:szCs w:val="24"/>
          <w:highlight w:val="none"/>
        </w:rPr>
        <w:t>本</w:t>
      </w:r>
      <w:r>
        <w:rPr>
          <w:rFonts w:ascii="宋体" w:hAnsi="宋体" w:eastAsia="宋体" w:cs="Times New Roman"/>
          <w:color w:val="auto"/>
          <w:sz w:val="24"/>
          <w:szCs w:val="24"/>
          <w:highlight w:val="none"/>
        </w:rPr>
        <w:t>合同总价的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迟延</w:t>
      </w:r>
      <w:r>
        <w:rPr>
          <w:rFonts w:hint="eastAsia" w:ascii="宋体" w:hAnsi="宋体" w:eastAsia="宋体" w:cs="Times New Roman"/>
          <w:color w:val="auto"/>
          <w:sz w:val="24"/>
          <w:szCs w:val="24"/>
          <w:highlight w:val="none"/>
        </w:rPr>
        <w:t>付款</w:t>
      </w:r>
      <w:r>
        <w:rPr>
          <w:rFonts w:ascii="宋体" w:hAnsi="宋体" w:eastAsia="宋体" w:cs="Times New Roman"/>
          <w:color w:val="auto"/>
          <w:sz w:val="24"/>
          <w:szCs w:val="24"/>
          <w:highlight w:val="none"/>
        </w:rPr>
        <w:t>的违约金计算数额达到前述最高限额之日起</w:t>
      </w:r>
      <w:r>
        <w:rPr>
          <w:rFonts w:hint="eastAsia" w:ascii="宋体" w:hAnsi="宋体" w:eastAsia="宋体" w:cs="Times New Roman"/>
          <w:color w:val="auto"/>
          <w:sz w:val="24"/>
          <w:szCs w:val="24"/>
          <w:highlight w:val="none"/>
        </w:rPr>
        <w:t>，乙</w:t>
      </w:r>
      <w:r>
        <w:rPr>
          <w:rFonts w:ascii="宋体" w:hAnsi="宋体" w:eastAsia="宋体" w:cs="Times New Roman"/>
          <w:color w:val="auto"/>
          <w:sz w:val="24"/>
          <w:szCs w:val="24"/>
          <w:highlight w:val="none"/>
        </w:rPr>
        <w:t>方有权在要求甲方支付违约金的同时</w:t>
      </w:r>
      <w:r>
        <w:rPr>
          <w:rFonts w:hint="eastAsia" w:ascii="宋体" w:hAnsi="宋体" w:eastAsia="宋体" w:cs="Times New Roman"/>
          <w:color w:val="auto"/>
          <w:sz w:val="24"/>
          <w:szCs w:val="24"/>
          <w:highlight w:val="none"/>
        </w:rPr>
        <w:t>，书面通知甲方</w:t>
      </w:r>
      <w:r>
        <w:rPr>
          <w:rFonts w:ascii="宋体" w:hAnsi="宋体" w:eastAsia="宋体" w:cs="Times New Roman"/>
          <w:color w:val="auto"/>
          <w:sz w:val="24"/>
          <w:szCs w:val="24"/>
          <w:highlight w:val="none"/>
        </w:rPr>
        <w:t>解除本合同</w:t>
      </w:r>
      <w:r>
        <w:rPr>
          <w:rFonts w:hint="eastAsia" w:ascii="宋体" w:hAnsi="宋体" w:eastAsia="宋体" w:cs="Times New Roman"/>
          <w:color w:val="auto"/>
          <w:sz w:val="24"/>
          <w:szCs w:val="24"/>
          <w:highlight w:val="none"/>
        </w:rPr>
        <w:t>；</w:t>
      </w:r>
    </w:p>
    <w:p w14:paraId="7447FCAD">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7844163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4B0F0C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B3635F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4F41DD08">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1.6.7因甲方未按合同约定支付价款、未按合同约定受领标的物、擅自解除合同</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逾期退还履约保证金</w:t>
      </w:r>
      <w:r>
        <w:rPr>
          <w:rFonts w:ascii="宋体" w:hAnsi="宋体" w:eastAsia="宋体" w:cs="Times New Roman"/>
          <w:color w:val="auto"/>
          <w:sz w:val="24"/>
          <w:szCs w:val="24"/>
          <w:highlight w:val="none"/>
        </w:rPr>
        <w:t>导致乙方遭受的直接损失，乙方可向甲方申请赔偿，赔偿金额由双方协商一致；</w:t>
      </w:r>
      <w:r>
        <w:rPr>
          <w:rFonts w:hint="eastAsia" w:ascii="宋体" w:hAnsi="宋体" w:eastAsia="宋体" w:cs="Times New Roman"/>
          <w:color w:val="auto"/>
          <w:sz w:val="24"/>
          <w:szCs w:val="24"/>
          <w:highlight w:val="none"/>
        </w:rPr>
        <w:t>针对因政策变化等原因不能签订合同或解除合同时，造成乙方合法利益受损的情形，可以给予乙方合理补偿，补偿金额不得超过乙方的直接损失。</w:t>
      </w:r>
    </w:p>
    <w:p w14:paraId="2EAD7D3E">
      <w:pPr>
        <w:spacing w:line="360" w:lineRule="auto"/>
        <w:ind w:firstLine="437"/>
        <w:outlineLvl w:val="2"/>
        <w:rPr>
          <w:rFonts w:ascii="宋体" w:hAnsi="宋体" w:eastAsia="宋体" w:cs="Times New Roman"/>
          <w:b/>
          <w:bCs/>
          <w:color w:val="auto"/>
          <w:sz w:val="24"/>
          <w:szCs w:val="24"/>
          <w:highlight w:val="none"/>
          <w:lang w:val="zh-CN"/>
        </w:rPr>
      </w:pPr>
      <w:bookmarkStart w:id="26" w:name="_Toc28375"/>
      <w:bookmarkStart w:id="27" w:name="_Toc16021"/>
      <w:bookmarkStart w:id="28" w:name="_Toc15583"/>
      <w:r>
        <w:rPr>
          <w:rFonts w:hint="eastAsia" w:ascii="宋体" w:hAnsi="宋体" w:eastAsia="宋体" w:cs="Times New Roman"/>
          <w:b/>
          <w:bCs/>
          <w:color w:val="auto"/>
          <w:sz w:val="24"/>
          <w:szCs w:val="24"/>
          <w:highlight w:val="none"/>
          <w:lang w:val="zh-CN"/>
        </w:rPr>
        <w:t>1.7</w:t>
      </w:r>
      <w:r>
        <w:rPr>
          <w:rFonts w:ascii="宋体" w:hAnsi="宋体" w:eastAsia="宋体" w:cs="Times New Roman"/>
          <w:b/>
          <w:bCs/>
          <w:color w:val="auto"/>
          <w:sz w:val="24"/>
          <w:szCs w:val="24"/>
          <w:highlight w:val="none"/>
          <w:lang w:val="zh-CN"/>
        </w:rPr>
        <w:t xml:space="preserve"> </w:t>
      </w:r>
      <w:r>
        <w:rPr>
          <w:rFonts w:hint="eastAsia" w:ascii="宋体" w:hAnsi="宋体" w:eastAsia="宋体" w:cs="Times New Roman"/>
          <w:b/>
          <w:bCs/>
          <w:color w:val="auto"/>
          <w:sz w:val="24"/>
          <w:szCs w:val="24"/>
          <w:highlight w:val="none"/>
          <w:lang w:val="zh-CN"/>
        </w:rPr>
        <w:t>合同</w:t>
      </w:r>
      <w:r>
        <w:rPr>
          <w:rFonts w:ascii="宋体" w:hAnsi="宋体" w:eastAsia="宋体" w:cs="Times New Roman"/>
          <w:b/>
          <w:bCs/>
          <w:color w:val="auto"/>
          <w:sz w:val="24"/>
          <w:szCs w:val="24"/>
          <w:highlight w:val="none"/>
          <w:lang w:val="zh-CN"/>
        </w:rPr>
        <w:t>争议的解决</w:t>
      </w:r>
      <w:bookmarkEnd w:id="26"/>
      <w:bookmarkEnd w:id="27"/>
      <w:bookmarkEnd w:id="28"/>
    </w:p>
    <w:p w14:paraId="69E8CE7D">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w:t>
      </w:r>
      <w:r>
        <w:rPr>
          <w:rFonts w:ascii="宋体" w:hAnsi="宋体" w:eastAsia="宋体" w:cs="Times New Roman"/>
          <w:color w:val="auto"/>
          <w:sz w:val="24"/>
          <w:szCs w:val="24"/>
          <w:highlight w:val="none"/>
        </w:rPr>
        <w:t>同履行过程中发生的任何争议，双方当事人均可</w:t>
      </w:r>
      <w:r>
        <w:rPr>
          <w:rFonts w:hint="eastAsia" w:ascii="宋体" w:hAnsi="宋体" w:eastAsia="宋体" w:cs="Times New Roman"/>
          <w:color w:val="auto"/>
          <w:sz w:val="24"/>
          <w:szCs w:val="24"/>
          <w:highlight w:val="none"/>
        </w:rPr>
        <w:t>通过和解或者调解解决；不愿和解、调解或者和解、调解不成的，可以选择下列第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2</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种方式解决：</w:t>
      </w:r>
    </w:p>
    <w:p w14:paraId="433B4C1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1.7.1将争议提交</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eastAsia="zh-CN"/>
        </w:rPr>
        <w:t>渭南</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仲裁委员会依申请仲裁时其现行有效的仲裁规则裁决；</w:t>
      </w:r>
    </w:p>
    <w:p w14:paraId="1922AC1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1.7.2向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采购人所在地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人民法院起诉。</w:t>
      </w:r>
    </w:p>
    <w:p w14:paraId="4167BC19">
      <w:pPr>
        <w:spacing w:line="360" w:lineRule="auto"/>
        <w:ind w:firstLine="437"/>
        <w:outlineLvl w:val="2"/>
        <w:rPr>
          <w:rFonts w:ascii="宋体" w:hAnsi="宋体" w:eastAsia="宋体" w:cs="Times New Roman"/>
          <w:b/>
          <w:bCs/>
          <w:color w:val="auto"/>
          <w:sz w:val="24"/>
          <w:szCs w:val="24"/>
          <w:highlight w:val="none"/>
          <w:lang w:val="zh-CN"/>
        </w:rPr>
      </w:pPr>
      <w:bookmarkStart w:id="29" w:name="_Toc7342"/>
      <w:bookmarkStart w:id="30" w:name="_Toc18389"/>
      <w:bookmarkStart w:id="31" w:name="_Toc2858"/>
      <w:r>
        <w:rPr>
          <w:rFonts w:hint="eastAsia" w:ascii="宋体" w:hAnsi="宋体" w:eastAsia="宋体" w:cs="Times New Roman"/>
          <w:b/>
          <w:bCs/>
          <w:color w:val="auto"/>
          <w:sz w:val="24"/>
          <w:szCs w:val="24"/>
          <w:highlight w:val="none"/>
          <w:lang w:val="en-US" w:eastAsia="zh-CN"/>
        </w:rPr>
        <w:t>1.8</w:t>
      </w:r>
      <w:r>
        <w:rPr>
          <w:rFonts w:hint="eastAsia" w:ascii="宋体" w:hAnsi="宋体" w:eastAsia="宋体" w:cs="Times New Roman"/>
          <w:b/>
          <w:bCs/>
          <w:color w:val="auto"/>
          <w:sz w:val="24"/>
          <w:szCs w:val="24"/>
          <w:highlight w:val="none"/>
          <w:lang w:val="zh-CN"/>
        </w:rPr>
        <w:t>、合同生效</w:t>
      </w:r>
      <w:bookmarkEnd w:id="29"/>
      <w:bookmarkEnd w:id="30"/>
      <w:bookmarkEnd w:id="31"/>
    </w:p>
    <w:p w14:paraId="008E11C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lang w:val="en-US" w:eastAsia="zh-CN"/>
        </w:rPr>
        <w:t xml:space="preserve"> </w:t>
      </w:r>
      <w:r>
        <w:rPr>
          <w:rFonts w:hint="eastAsia" w:hAnsi="宋体" w:cs="宋体"/>
          <w:szCs w:val="21"/>
          <w:highlight w:val="none"/>
          <w:u w:val="single"/>
          <w:lang w:val="en-US" w:eastAsia="zh-CN"/>
        </w:rPr>
        <w:t xml:space="preserve">  </w:t>
      </w:r>
      <w:r>
        <w:rPr>
          <w:rFonts w:hint="eastAsia" w:hAnsi="宋体" w:cs="宋体"/>
          <w:szCs w:val="21"/>
          <w:highlight w:val="none"/>
        </w:rPr>
        <w:t>份，甲方执</w:t>
      </w:r>
      <w:r>
        <w:rPr>
          <w:rFonts w:hint="eastAsia" w:hAnsi="宋体" w:cs="宋体"/>
          <w:szCs w:val="21"/>
          <w:highlight w:val="none"/>
          <w:u w:val="single"/>
          <w:lang w:val="en-US" w:eastAsia="zh-CN"/>
        </w:rPr>
        <w:t xml:space="preserve">   </w:t>
      </w:r>
      <w:r>
        <w:rPr>
          <w:rFonts w:hint="eastAsia" w:hAnsi="宋体" w:cs="宋体"/>
          <w:szCs w:val="21"/>
          <w:highlight w:val="none"/>
        </w:rPr>
        <w:t>份，乙方执</w:t>
      </w:r>
      <w:r>
        <w:rPr>
          <w:rFonts w:hint="eastAsia" w:hAnsi="宋体" w:cs="宋体"/>
          <w:szCs w:val="21"/>
          <w:highlight w:val="none"/>
          <w:u w:val="single"/>
          <w:lang w:val="en-US" w:eastAsia="zh-CN"/>
        </w:rPr>
        <w:t xml:space="preserve">   </w:t>
      </w:r>
      <w:r>
        <w:rPr>
          <w:rFonts w:hint="eastAsia" w:hAnsi="宋体" w:cs="宋体"/>
          <w:szCs w:val="21"/>
          <w:highlight w:val="none"/>
        </w:rPr>
        <w:t>份，本合同甲、乙、确认各方签字盖章后生效，合同执行完毕后，自动失效（合同的服务承诺则长期有效）。</w:t>
      </w:r>
    </w:p>
    <w:p w14:paraId="6C1CADE4">
      <w:pPr>
        <w:spacing w:line="360" w:lineRule="auto"/>
        <w:ind w:firstLine="437"/>
        <w:outlineLvl w:val="2"/>
        <w:rPr>
          <w:rFonts w:hint="eastAsia" w:ascii="宋体" w:hAnsi="宋体" w:eastAsia="宋体" w:cs="Times New Roman"/>
          <w:b/>
          <w:bCs/>
          <w:color w:val="auto"/>
          <w:sz w:val="24"/>
          <w:szCs w:val="24"/>
          <w:highlight w:val="none"/>
          <w:lang w:val="en-US" w:eastAsia="zh-CN"/>
        </w:rPr>
      </w:pPr>
      <w:bookmarkStart w:id="32" w:name="_Toc18381"/>
      <w:bookmarkStart w:id="33" w:name="_Toc823"/>
      <w:bookmarkStart w:id="34" w:name="_Toc18225"/>
      <w:r>
        <w:rPr>
          <w:rFonts w:hint="eastAsia" w:ascii="宋体" w:hAnsi="宋体" w:eastAsia="宋体" w:cs="Times New Roman"/>
          <w:b/>
          <w:bCs/>
          <w:color w:val="auto"/>
          <w:sz w:val="24"/>
          <w:szCs w:val="24"/>
          <w:highlight w:val="none"/>
          <w:lang w:val="en-US" w:eastAsia="zh-CN"/>
        </w:rPr>
        <w:t>1.9、其他事项</w:t>
      </w:r>
      <w:bookmarkEnd w:id="32"/>
      <w:bookmarkEnd w:id="33"/>
      <w:bookmarkEnd w:id="34"/>
    </w:p>
    <w:p w14:paraId="56BA68F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（一）竞争性磋商文件、竞争性磋商响应文件、澄清表（函）、成交通知书、合同附件均成为合同不可分割的部分。</w:t>
      </w:r>
    </w:p>
    <w:p w14:paraId="53CE490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4809651A">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2A3DB0D9">
      <w:pPr>
        <w:spacing w:line="360" w:lineRule="auto"/>
        <w:ind w:firstLine="420"/>
        <w:rPr>
          <w:szCs w:val="24"/>
          <w:highlight w:val="none"/>
        </w:rPr>
      </w:pPr>
      <w:r>
        <w:rPr>
          <w:rFonts w:hint="eastAsia" w:hAnsi="宋体"/>
          <w:szCs w:val="24"/>
          <w:highlight w:val="none"/>
          <w:lang w:eastAsia="zh-CN"/>
        </w:rPr>
        <w:t>（</w:t>
      </w:r>
      <w:r>
        <w:rPr>
          <w:rFonts w:hint="eastAsia" w:hAnsi="宋体"/>
          <w:szCs w:val="24"/>
          <w:highlight w:val="none"/>
        </w:rPr>
        <w:t>四）执行本合同过程中发生争议，由当事人双方协商解决。协商不成，可向采购方所在地人民法院提起诉讼。</w:t>
      </w:r>
    </w:p>
    <w:p w14:paraId="34F505C9">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11EA7EE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2C568D54">
      <w:pPr>
        <w:tabs>
          <w:tab w:val="left" w:pos="480"/>
        </w:tabs>
        <w:spacing w:line="360" w:lineRule="auto"/>
        <w:ind w:firstLine="480" w:firstLineChars="200"/>
        <w:rPr>
          <w:rFonts w:hint="eastAsia" w:hAnsi="宋体" w:cs="宋体"/>
          <w:szCs w:val="21"/>
          <w:highlight w:val="none"/>
        </w:rPr>
      </w:pPr>
    </w:p>
    <w:p w14:paraId="0D8D4806">
      <w:pPr>
        <w:tabs>
          <w:tab w:val="left" w:pos="480"/>
        </w:tabs>
        <w:spacing w:line="360" w:lineRule="auto"/>
        <w:ind w:firstLine="480" w:firstLineChars="200"/>
        <w:rPr>
          <w:rFonts w:hint="eastAsia" w:hAnsi="宋体" w:cs="宋体"/>
          <w:szCs w:val="21"/>
          <w:highlight w:val="none"/>
        </w:rPr>
      </w:pPr>
    </w:p>
    <w:p w14:paraId="0A428BB5">
      <w:pPr>
        <w:tabs>
          <w:tab w:val="left" w:pos="480"/>
        </w:tabs>
        <w:spacing w:line="360" w:lineRule="auto"/>
        <w:ind w:firstLine="480" w:firstLineChars="200"/>
        <w:rPr>
          <w:rFonts w:hint="eastAsia" w:hAnsi="宋体" w:cs="宋体"/>
          <w:szCs w:val="21"/>
          <w:highlight w:val="none"/>
        </w:rPr>
      </w:pPr>
    </w:p>
    <w:p w14:paraId="60CBBDC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6F0008C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6F99272B">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26BBB1C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33BB44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78E073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5282F791">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1CC8C25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589957C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28D1422F">
      <w:pPr>
        <w:tabs>
          <w:tab w:val="left" w:pos="480"/>
        </w:tabs>
        <w:spacing w:line="360" w:lineRule="auto"/>
        <w:ind w:firstLine="480" w:firstLineChars="200"/>
        <w:rPr>
          <w:rFonts w:hint="eastAsia" w:hAnsi="宋体" w:cs="宋体"/>
          <w:szCs w:val="21"/>
          <w:highlight w:val="none"/>
        </w:rPr>
      </w:pPr>
    </w:p>
    <w:p w14:paraId="025CB37B"/>
    <w:p w14:paraId="0A00D85C"/>
    <w:p w14:paraId="7858067C"/>
    <w:p w14:paraId="334A0832"/>
    <w:p w14:paraId="64A4B4B6"/>
    <w:p w14:paraId="2DA71C6E"/>
    <w:p w14:paraId="412E43BB"/>
    <w:p w14:paraId="521829CB"/>
    <w:p w14:paraId="6A87B9E8"/>
    <w:p w14:paraId="3C109287"/>
    <w:p w14:paraId="1F1E4888"/>
    <w:p w14:paraId="1E17A491"/>
    <w:p w14:paraId="437B4664"/>
    <w:p w14:paraId="19F15D10"/>
    <w:p w14:paraId="3809535E"/>
    <w:p w14:paraId="128BAC13"/>
    <w:p w14:paraId="3D377569"/>
    <w:p w14:paraId="5919115F">
      <w:pPr>
        <w:spacing w:line="360" w:lineRule="auto"/>
        <w:jc w:val="center"/>
        <w:outlineLvl w:val="1"/>
        <w:rPr>
          <w:rFonts w:ascii="宋体" w:hAnsi="宋体" w:eastAsia="宋体"/>
          <w:b/>
          <w:color w:val="auto"/>
          <w:sz w:val="24"/>
          <w:highlight w:val="none"/>
        </w:rPr>
      </w:pPr>
      <w:bookmarkStart w:id="35" w:name="_Toc415"/>
      <w:r>
        <w:rPr>
          <w:rFonts w:hint="eastAsia" w:ascii="宋体" w:hAnsi="宋体" w:eastAsia="宋体"/>
          <w:b/>
          <w:color w:val="auto"/>
          <w:sz w:val="24"/>
          <w:highlight w:val="none"/>
          <w:lang w:eastAsia="zh-CN"/>
        </w:rPr>
        <w:t>二、</w:t>
      </w:r>
      <w:r>
        <w:rPr>
          <w:rFonts w:ascii="宋体" w:hAnsi="宋体" w:eastAsia="宋体"/>
          <w:b/>
          <w:color w:val="auto"/>
          <w:sz w:val="24"/>
          <w:highlight w:val="none"/>
        </w:rPr>
        <w:t xml:space="preserve"> </w:t>
      </w:r>
      <w:r>
        <w:rPr>
          <w:rFonts w:hint="eastAsia" w:ascii="宋体" w:hAnsi="宋体" w:eastAsia="宋体"/>
          <w:b/>
          <w:color w:val="auto"/>
          <w:sz w:val="24"/>
          <w:highlight w:val="none"/>
        </w:rPr>
        <w:t>合同一般条款</w:t>
      </w:r>
      <w:bookmarkEnd w:id="35"/>
    </w:p>
    <w:p w14:paraId="70B390C9">
      <w:pPr>
        <w:spacing w:line="360" w:lineRule="auto"/>
        <w:ind w:firstLine="437"/>
        <w:outlineLvl w:val="2"/>
        <w:rPr>
          <w:rFonts w:ascii="宋体" w:hAnsi="宋体" w:eastAsia="宋体" w:cs="Times New Roman"/>
          <w:b/>
          <w:bCs/>
          <w:color w:val="auto"/>
          <w:sz w:val="24"/>
          <w:szCs w:val="24"/>
          <w:highlight w:val="none"/>
          <w:lang w:val="zh-CN"/>
        </w:rPr>
      </w:pPr>
      <w:bookmarkStart w:id="36" w:name="_Ref467379225"/>
      <w:bookmarkStart w:id="37" w:name="_Toc487900349"/>
      <w:bookmarkStart w:id="38" w:name="_Ref467378404"/>
      <w:bookmarkStart w:id="39" w:name="_Toc19614"/>
      <w:bookmarkStart w:id="40" w:name="_Toc259093669"/>
      <w:bookmarkStart w:id="41" w:name="_Ref467378499"/>
      <w:bookmarkStart w:id="42" w:name="_Ref467379094"/>
      <w:bookmarkStart w:id="43" w:name="_Ref467379205"/>
      <w:bookmarkStart w:id="44" w:name="_Ref467379195"/>
      <w:bookmarkStart w:id="45" w:name="_Ref467378463"/>
      <w:bookmarkStart w:id="46" w:name="_Toc28763"/>
      <w:bookmarkStart w:id="47" w:name="_Ref467379214"/>
      <w:bookmarkStart w:id="48" w:name="_Toc16917"/>
      <w:bookmarkStart w:id="49" w:name="_Ref467379101"/>
      <w:bookmarkStart w:id="50" w:name="_Ref467379109"/>
      <w:bookmarkStart w:id="51" w:name="_Toc279701240"/>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 xml:space="preserve"> 定义</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33F1254">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本合同中的下列</w:t>
      </w:r>
      <w:r>
        <w:rPr>
          <w:rFonts w:hint="eastAsia" w:ascii="宋体" w:hAnsi="宋体" w:eastAsia="宋体" w:cs="Times New Roman"/>
          <w:color w:val="auto"/>
          <w:sz w:val="24"/>
          <w:szCs w:val="24"/>
          <w:highlight w:val="none"/>
        </w:rPr>
        <w:t>词</w:t>
      </w:r>
      <w:r>
        <w:rPr>
          <w:rFonts w:ascii="宋体" w:hAnsi="宋体" w:eastAsia="宋体" w:cs="Times New Roman"/>
          <w:color w:val="auto"/>
          <w:sz w:val="24"/>
          <w:szCs w:val="24"/>
          <w:highlight w:val="none"/>
        </w:rPr>
        <w:t>语应</w:t>
      </w:r>
      <w:r>
        <w:rPr>
          <w:rFonts w:hint="eastAsia" w:ascii="宋体" w:hAnsi="宋体" w:eastAsia="宋体" w:cs="Times New Roman"/>
          <w:color w:val="auto"/>
          <w:sz w:val="24"/>
          <w:szCs w:val="24"/>
          <w:highlight w:val="none"/>
        </w:rPr>
        <w:t>按以下内容进行</w:t>
      </w:r>
      <w:r>
        <w:rPr>
          <w:rFonts w:ascii="宋体" w:hAnsi="宋体" w:eastAsia="宋体" w:cs="Times New Roman"/>
          <w:color w:val="auto"/>
          <w:sz w:val="24"/>
          <w:szCs w:val="24"/>
          <w:highlight w:val="none"/>
        </w:rPr>
        <w:t>解释：</w:t>
      </w:r>
    </w:p>
    <w:p w14:paraId="4F1BB1D0">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“合同”系指采购人和中标人签订的载明双方当事人所达成的协议，并包括所有的附件、附录和构成合同的其他文件。</w:t>
      </w:r>
    </w:p>
    <w:p w14:paraId="44F16D6A">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1.2“合同价”系指根据合同约定，中标人在完全履行合同义务后</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采购人应支付给中标人的价格。</w:t>
      </w:r>
    </w:p>
    <w:p w14:paraId="6767925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1.3“</w:t>
      </w:r>
      <w:r>
        <w:rPr>
          <w:rFonts w:hint="eastAsia" w:ascii="宋体" w:hAnsi="宋体" w:eastAsia="宋体" w:cs="Times New Roman"/>
          <w:color w:val="auto"/>
          <w:sz w:val="24"/>
          <w:szCs w:val="24"/>
          <w:highlight w:val="none"/>
        </w:rPr>
        <w:t>服务</w:t>
      </w:r>
      <w:r>
        <w:rPr>
          <w:rFonts w:ascii="宋体" w:hAnsi="宋体" w:eastAsia="宋体" w:cs="Times New Roman"/>
          <w:color w:val="auto"/>
          <w:sz w:val="24"/>
          <w:szCs w:val="24"/>
          <w:highlight w:val="none"/>
        </w:rPr>
        <w:t>”系指</w:t>
      </w:r>
      <w:r>
        <w:rPr>
          <w:rFonts w:hint="eastAsia" w:ascii="宋体" w:hAnsi="宋体" w:eastAsia="宋体" w:cs="Times New Roman"/>
          <w:color w:val="auto"/>
          <w:sz w:val="24"/>
          <w:szCs w:val="24"/>
          <w:highlight w:val="none"/>
        </w:rPr>
        <w:t>中标人</w:t>
      </w:r>
      <w:r>
        <w:rPr>
          <w:rFonts w:ascii="宋体" w:hAnsi="宋体" w:eastAsia="宋体" w:cs="Times New Roman"/>
          <w:color w:val="auto"/>
          <w:sz w:val="24"/>
          <w:szCs w:val="24"/>
          <w:highlight w:val="none"/>
        </w:rPr>
        <w:t>根据合同约定应向采购人</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w:t>
      </w:r>
      <w:r>
        <w:rPr>
          <w:rFonts w:hint="eastAsia" w:ascii="宋体" w:hAnsi="宋体" w:eastAsia="宋体" w:cs="Times New Roman"/>
          <w:color w:val="auto"/>
          <w:sz w:val="24"/>
          <w:szCs w:val="24"/>
          <w:highlight w:val="none"/>
          <w:lang w:val="en-US" w:eastAsia="zh-CN"/>
        </w:rPr>
        <w:t>服务</w:t>
      </w:r>
      <w:r>
        <w:rPr>
          <w:rFonts w:hint="eastAsia" w:ascii="宋体" w:hAnsi="宋体" w:eastAsia="宋体" w:cs="Times New Roman"/>
          <w:color w:val="auto"/>
          <w:sz w:val="24"/>
          <w:szCs w:val="24"/>
          <w:highlight w:val="none"/>
        </w:rPr>
        <w:t>，包括采购人自身需要的服务和向社会公众提供的公共服务。</w:t>
      </w:r>
    </w:p>
    <w:p w14:paraId="25CF5A1A">
      <w:pPr>
        <w:spacing w:line="360" w:lineRule="auto"/>
        <w:ind w:firstLine="435"/>
        <w:rPr>
          <w:rFonts w:ascii="宋体" w:hAnsi="宋体" w:eastAsia="宋体" w:cs="Times New Roman"/>
          <w:color w:val="auto"/>
          <w:sz w:val="24"/>
          <w:szCs w:val="24"/>
          <w:highlight w:val="none"/>
        </w:rPr>
      </w:pPr>
      <w:bookmarkStart w:id="52" w:name="_Ref467378840"/>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甲方</w:t>
      </w:r>
      <w:r>
        <w:rPr>
          <w:rFonts w:ascii="宋体" w:hAnsi="宋体" w:eastAsia="宋体" w:cs="Times New Roman"/>
          <w:color w:val="auto"/>
          <w:sz w:val="24"/>
          <w:szCs w:val="24"/>
          <w:highlight w:val="none"/>
        </w:rPr>
        <w:t>”系指与</w:t>
      </w:r>
      <w:r>
        <w:rPr>
          <w:rFonts w:hint="eastAsia" w:ascii="宋体" w:hAnsi="宋体" w:eastAsia="宋体" w:cs="Times New Roman"/>
          <w:color w:val="auto"/>
          <w:sz w:val="24"/>
          <w:szCs w:val="24"/>
          <w:highlight w:val="none"/>
        </w:rPr>
        <w:t>中标人</w:t>
      </w:r>
      <w:r>
        <w:rPr>
          <w:rFonts w:ascii="宋体" w:hAnsi="宋体" w:eastAsia="宋体" w:cs="Times New Roman"/>
          <w:color w:val="auto"/>
          <w:sz w:val="24"/>
          <w:szCs w:val="24"/>
          <w:highlight w:val="none"/>
        </w:rPr>
        <w:t>签署合同的采购人</w:t>
      </w:r>
      <w:bookmarkEnd w:id="52"/>
      <w:r>
        <w:rPr>
          <w:rFonts w:hint="eastAsia" w:ascii="宋体" w:hAnsi="宋体" w:eastAsia="宋体" w:cs="Times New Roman"/>
          <w:color w:val="auto"/>
          <w:sz w:val="24"/>
          <w:szCs w:val="24"/>
          <w:highlight w:val="none"/>
        </w:rPr>
        <w:t>；采购人委托采购代理机构代表其与乙方签订合同的，采购人的授权委托书作为合同附件。</w:t>
      </w:r>
    </w:p>
    <w:p w14:paraId="0765F4B3">
      <w:pPr>
        <w:spacing w:line="360" w:lineRule="auto"/>
        <w:ind w:firstLine="435"/>
        <w:rPr>
          <w:rFonts w:ascii="宋体" w:hAnsi="宋体" w:eastAsia="宋体" w:cs="Times New Roman"/>
          <w:color w:val="auto"/>
          <w:sz w:val="24"/>
          <w:szCs w:val="24"/>
          <w:highlight w:val="none"/>
        </w:rPr>
      </w:pPr>
      <w:bookmarkStart w:id="53" w:name="_Ref467379400"/>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“乙方”系指根据合同约定</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的中标人</w:t>
      </w:r>
      <w:bookmarkEnd w:id="53"/>
      <w:r>
        <w:rPr>
          <w:rFonts w:hint="eastAsia" w:ascii="宋体" w:hAnsi="宋体" w:eastAsia="宋体" w:cs="Times New Roman"/>
          <w:color w:val="auto"/>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322DCA89">
      <w:pPr>
        <w:spacing w:line="360" w:lineRule="auto"/>
        <w:ind w:firstLine="435"/>
        <w:rPr>
          <w:rFonts w:ascii="宋体" w:hAnsi="宋体" w:eastAsia="宋体" w:cs="Times New Roman"/>
          <w:color w:val="auto"/>
          <w:sz w:val="24"/>
          <w:szCs w:val="24"/>
          <w:highlight w:val="none"/>
        </w:rPr>
      </w:pPr>
      <w:bookmarkStart w:id="54" w:name="_Ref467379436"/>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“现场”系指合同约定</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的地点。</w:t>
      </w:r>
      <w:bookmarkEnd w:id="54"/>
    </w:p>
    <w:p w14:paraId="69B5E4F3">
      <w:pPr>
        <w:spacing w:line="360" w:lineRule="auto"/>
        <w:ind w:firstLine="437"/>
        <w:outlineLvl w:val="2"/>
        <w:rPr>
          <w:rFonts w:ascii="宋体" w:hAnsi="宋体" w:eastAsia="宋体" w:cs="Times New Roman"/>
          <w:b/>
          <w:bCs/>
          <w:color w:val="auto"/>
          <w:sz w:val="24"/>
          <w:szCs w:val="24"/>
          <w:highlight w:val="none"/>
          <w:lang w:val="zh-CN"/>
        </w:rPr>
      </w:pPr>
      <w:bookmarkStart w:id="55" w:name="_Toc259093670"/>
      <w:bookmarkStart w:id="56" w:name="_Toc487900350"/>
      <w:bookmarkStart w:id="57" w:name="_Toc27635"/>
      <w:bookmarkStart w:id="58" w:name="_Toc279701241"/>
      <w:bookmarkStart w:id="59" w:name="_Toc13336"/>
      <w:bookmarkStart w:id="60" w:name="_Toc32504"/>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2 技术规范</w:t>
      </w:r>
      <w:bookmarkEnd w:id="55"/>
      <w:bookmarkEnd w:id="56"/>
      <w:bookmarkEnd w:id="57"/>
      <w:bookmarkEnd w:id="58"/>
      <w:bookmarkEnd w:id="59"/>
      <w:bookmarkEnd w:id="60"/>
    </w:p>
    <w:p w14:paraId="05A7EF2E">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货物所应遵守的技术规范应与采购文件规定的技术规范和技术规范附件(如果有的话)及其技术规范偏差表(如果被甲方接受的话)相一致</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如果采购文件中没有技术规范的相应说明，那么应以国家有关部门最新颁布的相应标准</w:t>
      </w:r>
      <w:r>
        <w:rPr>
          <w:rFonts w:hint="eastAsia" w:ascii="宋体" w:hAnsi="宋体" w:eastAsia="宋体" w:cs="Times New Roman"/>
          <w:color w:val="auto"/>
          <w:sz w:val="24"/>
          <w:szCs w:val="24"/>
          <w:highlight w:val="none"/>
        </w:rPr>
        <w:t>和</w:t>
      </w:r>
      <w:r>
        <w:rPr>
          <w:rFonts w:ascii="宋体" w:hAnsi="宋体" w:eastAsia="宋体" w:cs="Times New Roman"/>
          <w:color w:val="auto"/>
          <w:sz w:val="24"/>
          <w:szCs w:val="24"/>
          <w:highlight w:val="none"/>
        </w:rPr>
        <w:t>规范为准。</w:t>
      </w:r>
    </w:p>
    <w:p w14:paraId="481C09D2">
      <w:pPr>
        <w:spacing w:line="360" w:lineRule="auto"/>
        <w:ind w:firstLine="437"/>
        <w:outlineLvl w:val="2"/>
        <w:rPr>
          <w:rFonts w:ascii="宋体" w:hAnsi="宋体" w:eastAsia="宋体" w:cs="Times New Roman"/>
          <w:b/>
          <w:bCs/>
          <w:color w:val="auto"/>
          <w:sz w:val="24"/>
          <w:szCs w:val="24"/>
          <w:highlight w:val="none"/>
          <w:lang w:val="zh-CN"/>
        </w:rPr>
      </w:pPr>
      <w:bookmarkStart w:id="61" w:name="_Toc259093671"/>
      <w:bookmarkStart w:id="62" w:name="_Toc27853"/>
      <w:bookmarkStart w:id="63" w:name="_Toc9829"/>
      <w:bookmarkStart w:id="64" w:name="_Toc31634"/>
      <w:bookmarkStart w:id="65" w:name="_Toc487900351"/>
      <w:bookmarkStart w:id="66" w:name="_Toc279701242"/>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3 知识产权</w:t>
      </w:r>
      <w:bookmarkEnd w:id="61"/>
      <w:bookmarkEnd w:id="62"/>
      <w:bookmarkEnd w:id="63"/>
      <w:bookmarkEnd w:id="64"/>
      <w:bookmarkEnd w:id="65"/>
      <w:bookmarkEnd w:id="66"/>
    </w:p>
    <w:p w14:paraId="1A47427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2.3.1乙</w:t>
      </w:r>
      <w:r>
        <w:rPr>
          <w:rFonts w:ascii="宋体" w:hAnsi="宋体" w:eastAsia="宋体" w:cs="Times New Roman"/>
          <w:color w:val="auto"/>
          <w:sz w:val="24"/>
          <w:szCs w:val="24"/>
          <w:highlight w:val="none"/>
        </w:rPr>
        <w:t>方应保证</w:t>
      </w:r>
      <w:r>
        <w:rPr>
          <w:rFonts w:hint="eastAsia" w:ascii="宋体" w:hAnsi="宋体" w:eastAsia="宋体" w:cs="Times New Roman"/>
          <w:color w:val="auto"/>
          <w:sz w:val="24"/>
          <w:szCs w:val="24"/>
          <w:highlight w:val="none"/>
        </w:rPr>
        <w:t>其提供的服务</w:t>
      </w:r>
      <w:r>
        <w:rPr>
          <w:rFonts w:ascii="宋体" w:hAnsi="宋体" w:eastAsia="宋体" w:cs="Times New Roman"/>
          <w:color w:val="auto"/>
          <w:sz w:val="24"/>
          <w:szCs w:val="24"/>
          <w:highlight w:val="none"/>
        </w:rPr>
        <w:t>不受任何第三方提出的侵犯其著作权、商标权、专利权等知识产权方面的起诉</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如果任何第三方提出侵权</w:t>
      </w:r>
      <w:r>
        <w:rPr>
          <w:rFonts w:hint="eastAsia" w:ascii="宋体" w:hAnsi="宋体" w:eastAsia="宋体" w:cs="Times New Roman"/>
          <w:color w:val="auto"/>
          <w:sz w:val="24"/>
          <w:szCs w:val="24"/>
          <w:highlight w:val="none"/>
        </w:rPr>
        <w:t>指控</w:t>
      </w:r>
      <w:r>
        <w:rPr>
          <w:rFonts w:ascii="宋体" w:hAnsi="宋体" w:eastAsia="宋体" w:cs="Times New Roman"/>
          <w:color w:val="auto"/>
          <w:sz w:val="24"/>
          <w:szCs w:val="24"/>
          <w:highlight w:val="none"/>
        </w:rPr>
        <w:t>，那么乙方须与该第三方交涉并承担由此发生的一切责任、费用和赔偿</w:t>
      </w:r>
      <w:r>
        <w:rPr>
          <w:rFonts w:hint="eastAsia" w:ascii="宋体" w:hAnsi="宋体" w:eastAsia="宋体" w:cs="Times New Roman"/>
          <w:color w:val="auto"/>
          <w:sz w:val="24"/>
          <w:szCs w:val="24"/>
          <w:highlight w:val="none"/>
        </w:rPr>
        <w:t>；</w:t>
      </w:r>
    </w:p>
    <w:p w14:paraId="7C4762A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2.3.2具有知识产权的计算机软件等货物的知识产权归属，</w:t>
      </w:r>
      <w:r>
        <w:rPr>
          <w:rFonts w:ascii="宋体" w:hAnsi="宋体" w:eastAsia="宋体" w:cs="Times New Roman"/>
          <w:color w:val="auto"/>
          <w:sz w:val="24"/>
          <w:szCs w:val="24"/>
          <w:highlight w:val="none"/>
        </w:rPr>
        <w:t>详见</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w:t>
      </w:r>
    </w:p>
    <w:p w14:paraId="657BCB32">
      <w:pPr>
        <w:spacing w:line="360" w:lineRule="auto"/>
        <w:ind w:firstLine="437"/>
        <w:outlineLvl w:val="2"/>
        <w:rPr>
          <w:rFonts w:ascii="宋体" w:hAnsi="宋体" w:eastAsia="宋体" w:cs="Times New Roman"/>
          <w:b/>
          <w:bCs/>
          <w:color w:val="auto"/>
          <w:sz w:val="24"/>
          <w:szCs w:val="24"/>
          <w:highlight w:val="none"/>
          <w:lang w:val="zh-CN"/>
        </w:rPr>
      </w:pPr>
      <w:bookmarkStart w:id="67" w:name="_Ref467379527"/>
      <w:bookmarkStart w:id="68" w:name="_Toc487900354"/>
      <w:bookmarkStart w:id="69" w:name="_Ref467378541"/>
      <w:bookmarkStart w:id="70" w:name="_Ref467378591"/>
      <w:bookmarkStart w:id="71" w:name="_Toc259093674"/>
      <w:bookmarkStart w:id="72" w:name="_Ref467379542"/>
      <w:bookmarkStart w:id="73" w:name="_Ref467379536"/>
      <w:bookmarkStart w:id="74" w:name="_Toc279701245"/>
      <w:bookmarkStart w:id="75" w:name="_Toc19074"/>
      <w:bookmarkStart w:id="76" w:name="_Toc30272"/>
      <w:bookmarkStart w:id="77" w:name="_Toc26182"/>
      <w:r>
        <w:rPr>
          <w:rFonts w:hint="eastAsia" w:ascii="宋体" w:hAnsi="宋体" w:eastAsia="宋体" w:cs="Times New Roman"/>
          <w:b/>
          <w:bCs/>
          <w:color w:val="auto"/>
          <w:sz w:val="24"/>
          <w:szCs w:val="24"/>
          <w:highlight w:val="none"/>
          <w:lang w:val="zh-CN"/>
        </w:rPr>
        <w:t>2.</w:t>
      </w:r>
      <w:bookmarkEnd w:id="67"/>
      <w:bookmarkEnd w:id="68"/>
      <w:bookmarkEnd w:id="69"/>
      <w:bookmarkEnd w:id="70"/>
      <w:bookmarkEnd w:id="71"/>
      <w:bookmarkEnd w:id="72"/>
      <w:bookmarkEnd w:id="73"/>
      <w:bookmarkEnd w:id="74"/>
      <w:r>
        <w:rPr>
          <w:rFonts w:ascii="宋体" w:hAnsi="宋体" w:eastAsia="宋体" w:cs="Times New Roman"/>
          <w:b/>
          <w:bCs/>
          <w:color w:val="auto"/>
          <w:sz w:val="24"/>
          <w:szCs w:val="24"/>
          <w:highlight w:val="none"/>
          <w:lang w:val="zh-CN"/>
        </w:rPr>
        <w:t xml:space="preserve">4 </w:t>
      </w:r>
      <w:r>
        <w:rPr>
          <w:rFonts w:hint="eastAsia" w:ascii="宋体" w:hAnsi="宋体" w:eastAsia="宋体" w:cs="Times New Roman"/>
          <w:b/>
          <w:bCs/>
          <w:color w:val="auto"/>
          <w:sz w:val="24"/>
          <w:szCs w:val="24"/>
          <w:highlight w:val="none"/>
          <w:lang w:val="zh-CN"/>
        </w:rPr>
        <w:t>履约检查和问题反馈</w:t>
      </w:r>
      <w:bookmarkEnd w:id="75"/>
      <w:bookmarkEnd w:id="76"/>
      <w:bookmarkEnd w:id="77"/>
    </w:p>
    <w:p w14:paraId="0093C8E0">
      <w:pPr>
        <w:spacing w:line="360" w:lineRule="auto"/>
        <w:ind w:firstLine="435"/>
        <w:rPr>
          <w:rFonts w:ascii="宋体" w:hAnsi="宋体" w:eastAsia="宋体" w:cs="Times New Roman"/>
          <w:color w:val="auto"/>
          <w:sz w:val="24"/>
          <w:szCs w:val="24"/>
          <w:highlight w:val="none"/>
        </w:rPr>
      </w:pPr>
      <w:bookmarkStart w:id="78" w:name="_Toc186431854"/>
      <w:bookmarkStart w:id="79" w:name="_Toc487900357"/>
      <w:bookmarkStart w:id="80" w:name="_Toc279701247"/>
      <w:bookmarkStart w:id="81" w:name="_Ref467379807"/>
      <w:bookmarkStart w:id="82" w:name="_Ref467379793"/>
      <w:bookmarkStart w:id="83" w:name="_Toc259093676"/>
      <w:r>
        <w:rPr>
          <w:rFonts w:hint="eastAsia" w:ascii="宋体" w:hAnsi="宋体" w:eastAsia="宋体" w:cs="Times New Roman"/>
          <w:color w:val="auto"/>
          <w:sz w:val="24"/>
          <w:szCs w:val="24"/>
          <w:highlight w:val="none"/>
        </w:rPr>
        <w:t>2.4</w:t>
      </w:r>
      <w:r>
        <w:rPr>
          <w:rFonts w:ascii="宋体" w:hAnsi="宋体" w:eastAsia="宋体" w:cs="Times New Roman"/>
          <w:color w:val="auto"/>
          <w:sz w:val="24"/>
          <w:szCs w:val="24"/>
          <w:highlight w:val="none"/>
        </w:rPr>
        <w:t>.1甲方</w:t>
      </w:r>
      <w:r>
        <w:rPr>
          <w:rFonts w:hint="eastAsia" w:ascii="宋体" w:hAnsi="宋体" w:eastAsia="宋体" w:cs="Times New Roman"/>
          <w:color w:val="auto"/>
          <w:sz w:val="24"/>
          <w:szCs w:val="24"/>
          <w:highlight w:val="none"/>
        </w:rPr>
        <w:t>有权</w:t>
      </w:r>
      <w:r>
        <w:rPr>
          <w:rFonts w:ascii="宋体" w:hAnsi="宋体" w:eastAsia="宋体" w:cs="Times New Roman"/>
          <w:color w:val="auto"/>
          <w:sz w:val="24"/>
          <w:szCs w:val="24"/>
          <w:highlight w:val="none"/>
        </w:rPr>
        <w:t>在其认为必要时</w:t>
      </w:r>
      <w:r>
        <w:rPr>
          <w:rFonts w:hint="eastAsia" w:ascii="宋体" w:hAnsi="宋体" w:eastAsia="宋体" w:cs="Times New Roman"/>
          <w:color w:val="auto"/>
          <w:sz w:val="24"/>
          <w:szCs w:val="24"/>
          <w:highlight w:val="none"/>
        </w:rPr>
        <w:t>，对乙方是否能够按照合同约定提供服务进行履约检查，以确保乙方所提供的服务能够依约满足甲方项目需求，但不得因履约检查妨碍乙方的正常工作，乙方应予积极配合；</w:t>
      </w:r>
    </w:p>
    <w:p w14:paraId="3376C55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.2合同履行期间，甲方有权将履行过程中出现的问题反馈给乙方，双方当事人应以书面形式约定需要完善和改进的内容</w:t>
      </w:r>
      <w:bookmarkEnd w:id="78"/>
      <w:bookmarkStart w:id="84" w:name="_Toc186431855"/>
      <w:r>
        <w:rPr>
          <w:rFonts w:hint="eastAsia" w:ascii="宋体" w:hAnsi="宋体" w:eastAsia="宋体" w:cs="Times New Roman"/>
          <w:color w:val="auto"/>
          <w:sz w:val="24"/>
          <w:szCs w:val="24"/>
          <w:highlight w:val="none"/>
        </w:rPr>
        <w:t>。</w:t>
      </w:r>
    </w:p>
    <w:bookmarkEnd w:id="84"/>
    <w:p w14:paraId="723DCBC8">
      <w:pPr>
        <w:spacing w:line="360" w:lineRule="auto"/>
        <w:ind w:firstLine="437"/>
        <w:outlineLvl w:val="2"/>
        <w:rPr>
          <w:rFonts w:ascii="宋体" w:hAnsi="宋体" w:eastAsia="宋体" w:cs="Times New Roman"/>
          <w:b/>
          <w:bCs/>
          <w:color w:val="auto"/>
          <w:sz w:val="24"/>
          <w:szCs w:val="24"/>
          <w:highlight w:val="none"/>
          <w:lang w:val="zh-CN"/>
        </w:rPr>
      </w:pPr>
      <w:bookmarkStart w:id="85" w:name="_Toc19219"/>
      <w:bookmarkStart w:id="86" w:name="_Toc7836"/>
      <w:bookmarkStart w:id="87" w:name="_Toc28451"/>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5</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结算方式和付款条件</w:t>
      </w:r>
      <w:bookmarkEnd w:id="79"/>
      <w:bookmarkEnd w:id="80"/>
      <w:bookmarkEnd w:id="81"/>
      <w:bookmarkEnd w:id="82"/>
      <w:bookmarkEnd w:id="83"/>
      <w:bookmarkEnd w:id="85"/>
      <w:bookmarkEnd w:id="86"/>
      <w:bookmarkEnd w:id="87"/>
    </w:p>
    <w:p w14:paraId="5AFBD006">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详见</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w:t>
      </w:r>
    </w:p>
    <w:p w14:paraId="40F45022">
      <w:pPr>
        <w:spacing w:line="360" w:lineRule="auto"/>
        <w:ind w:firstLine="437"/>
        <w:outlineLvl w:val="2"/>
        <w:rPr>
          <w:rFonts w:ascii="宋体" w:hAnsi="宋体" w:eastAsia="宋体" w:cs="Times New Roman"/>
          <w:b/>
          <w:bCs/>
          <w:color w:val="auto"/>
          <w:sz w:val="24"/>
          <w:szCs w:val="24"/>
          <w:highlight w:val="none"/>
          <w:lang w:val="zh-CN"/>
        </w:rPr>
      </w:pPr>
      <w:bookmarkStart w:id="88" w:name="_Toc259093677"/>
      <w:bookmarkStart w:id="89" w:name="_Toc279701248"/>
      <w:bookmarkStart w:id="90" w:name="_Toc487900358"/>
      <w:bookmarkStart w:id="91" w:name="_Ref467379923"/>
      <w:bookmarkStart w:id="92" w:name="_Ref467379852"/>
      <w:bookmarkStart w:id="93" w:name="_Ref467379863"/>
      <w:bookmarkStart w:id="94" w:name="_Toc774"/>
      <w:bookmarkStart w:id="95" w:name="_Toc3225"/>
      <w:bookmarkStart w:id="96" w:name="_Toc16110"/>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6</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技术资料</w:t>
      </w:r>
      <w:bookmarkEnd w:id="88"/>
      <w:bookmarkEnd w:id="89"/>
      <w:bookmarkEnd w:id="90"/>
      <w:bookmarkEnd w:id="91"/>
      <w:bookmarkEnd w:id="92"/>
      <w:bookmarkEnd w:id="93"/>
      <w:r>
        <w:rPr>
          <w:rFonts w:ascii="宋体" w:hAnsi="宋体" w:eastAsia="宋体" w:cs="Times New Roman"/>
          <w:b/>
          <w:bCs/>
          <w:color w:val="auto"/>
          <w:sz w:val="24"/>
          <w:szCs w:val="24"/>
          <w:highlight w:val="none"/>
          <w:lang w:val="zh-CN"/>
        </w:rPr>
        <w:t>和保密义务</w:t>
      </w:r>
      <w:bookmarkEnd w:id="94"/>
      <w:bookmarkEnd w:id="95"/>
      <w:bookmarkEnd w:id="96"/>
    </w:p>
    <w:p w14:paraId="502DE491">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6.1</w:t>
      </w:r>
      <w:r>
        <w:rPr>
          <w:rFonts w:hint="eastAsia" w:ascii="宋体" w:hAnsi="宋体" w:eastAsia="宋体" w:cs="Times New Roman"/>
          <w:color w:val="auto"/>
          <w:sz w:val="24"/>
          <w:szCs w:val="24"/>
          <w:highlight w:val="none"/>
        </w:rPr>
        <w:t>乙方有权依据合同约定和项目需要，向甲方了解有关情况，调阅有关资料等，甲方应予积极配合；</w:t>
      </w:r>
    </w:p>
    <w:p w14:paraId="2B2DE87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w:t>
      </w:r>
      <w:r>
        <w:rPr>
          <w:rFonts w:hint="eastAsia" w:ascii="宋体" w:hAnsi="宋体" w:eastAsia="宋体" w:cs="Times New Roman"/>
          <w:color w:val="auto"/>
          <w:sz w:val="24"/>
          <w:szCs w:val="24"/>
          <w:highlight w:val="none"/>
        </w:rPr>
        <w:t>.2乙方有义务妥善保管和保护由甲方提供的前款信息和资料等；</w:t>
      </w:r>
    </w:p>
    <w:p w14:paraId="64C3B1AF">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w:t>
      </w:r>
      <w:r>
        <w:rPr>
          <w:rFonts w:hint="eastAsia" w:ascii="宋体" w:hAnsi="宋体" w:eastAsia="宋体" w:cs="Times New Roman"/>
          <w:color w:val="auto"/>
          <w:sz w:val="24"/>
          <w:szCs w:val="24"/>
          <w:highlight w:val="none"/>
        </w:rPr>
        <w:t>3除非依照法律规定或者对方当事人的书面同意，任何一方均应保证不向任何第三方提供或披露有关合同的或者履行合同过程中知悉的对方当事人任何未公开的信息和资料，包括但不限于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eastAsia="宋体" w:cs="Times New Roman"/>
          <w:color w:val="auto"/>
          <w:sz w:val="24"/>
          <w:szCs w:val="24"/>
          <w:highlight w:val="none"/>
        </w:rPr>
        <w:t>技术情报</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技术资料</w:t>
      </w:r>
      <w:r>
        <w:rPr>
          <w:rFonts w:hint="eastAsia" w:ascii="宋体" w:hAnsi="宋体" w:eastAsia="宋体" w:cs="Times New Roman"/>
          <w:color w:val="auto"/>
          <w:sz w:val="24"/>
          <w:szCs w:val="24"/>
          <w:highlight w:val="none"/>
        </w:rPr>
        <w:t>、商业秘密和商业信息等，并采取一切合理和必要措施和方式防止任何第三方接触到对方当事人的上述保密信息和资料。</w:t>
      </w:r>
    </w:p>
    <w:p w14:paraId="236DB407">
      <w:pPr>
        <w:spacing w:line="360" w:lineRule="auto"/>
        <w:ind w:firstLine="437"/>
        <w:outlineLvl w:val="2"/>
        <w:rPr>
          <w:rFonts w:ascii="宋体" w:hAnsi="宋体" w:eastAsia="宋体" w:cs="Times New Roman"/>
          <w:b/>
          <w:bCs/>
          <w:color w:val="auto"/>
          <w:sz w:val="24"/>
          <w:szCs w:val="24"/>
          <w:highlight w:val="none"/>
          <w:lang w:val="zh-CN"/>
        </w:rPr>
      </w:pPr>
      <w:bookmarkStart w:id="97" w:name="_Toc7860"/>
      <w:r>
        <w:rPr>
          <w:rFonts w:ascii="宋体" w:hAnsi="宋体" w:eastAsia="宋体" w:cs="Times New Roman"/>
          <w:b/>
          <w:bCs/>
          <w:color w:val="auto"/>
          <w:sz w:val="24"/>
          <w:szCs w:val="24"/>
          <w:highlight w:val="none"/>
          <w:lang w:val="zh-CN"/>
        </w:rPr>
        <w:t>2.7 质量保证</w:t>
      </w:r>
      <w:bookmarkEnd w:id="97"/>
    </w:p>
    <w:p w14:paraId="109AF7D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.1乙方应建立和完善履行合同的内部质量保证体系，并提供相关内部规章制度给甲方，以便甲方进行监督检查；</w:t>
      </w:r>
    </w:p>
    <w:p w14:paraId="1F9ECA7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.2乙方应保证履行合同的人员数量和素质、软件和硬件设备的配置、场地、环境和设施等满足全面履行合同的要求，并应接受甲方的监督检查。</w:t>
      </w:r>
    </w:p>
    <w:p w14:paraId="2EC8F4F4">
      <w:pPr>
        <w:spacing w:line="360" w:lineRule="auto"/>
        <w:ind w:firstLine="437"/>
        <w:outlineLvl w:val="2"/>
        <w:rPr>
          <w:rFonts w:ascii="宋体" w:hAnsi="宋体" w:eastAsia="宋体" w:cs="Times New Roman"/>
          <w:b/>
          <w:color w:val="auto"/>
          <w:sz w:val="24"/>
          <w:szCs w:val="24"/>
          <w:highlight w:val="none"/>
        </w:rPr>
      </w:pPr>
      <w:bookmarkStart w:id="98" w:name="_Toc22267"/>
      <w:r>
        <w:rPr>
          <w:rFonts w:hint="eastAsia" w:ascii="宋体" w:hAnsi="宋体" w:eastAsia="宋体" w:cs="Times New Roman"/>
          <w:b/>
          <w:color w:val="auto"/>
          <w:sz w:val="24"/>
          <w:szCs w:val="24"/>
          <w:highlight w:val="none"/>
        </w:rPr>
        <w:t>2.8 延迟履行</w:t>
      </w:r>
      <w:bookmarkEnd w:id="98"/>
    </w:p>
    <w:p w14:paraId="40C3E6C0">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在合同履行过程中，如果乙方遇到不能按时</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的情况，应及时以书面形式将不能按时</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的理由、预期延误时间通知甲方</w:t>
      </w:r>
      <w:r>
        <w:rPr>
          <w:rFonts w:hint="eastAsia" w:ascii="宋体" w:hAnsi="宋体" w:eastAsia="宋体" w:cs="Times New Roman"/>
          <w:color w:val="auto"/>
          <w:sz w:val="24"/>
          <w:szCs w:val="24"/>
          <w:highlight w:val="none"/>
        </w:rPr>
        <w:t>；甲</w:t>
      </w:r>
      <w:r>
        <w:rPr>
          <w:rFonts w:ascii="宋体" w:hAnsi="宋体" w:eastAsia="宋体" w:cs="Times New Roman"/>
          <w:color w:val="auto"/>
          <w:sz w:val="24"/>
          <w:szCs w:val="24"/>
          <w:highlight w:val="none"/>
        </w:rPr>
        <w:t>方收到乙方通知后，认为其理由正当的，可以书面形式酌情同意乙方可以延长</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的具体时间。</w:t>
      </w:r>
    </w:p>
    <w:p w14:paraId="677D312C">
      <w:pPr>
        <w:spacing w:line="360" w:lineRule="auto"/>
        <w:ind w:firstLine="437"/>
        <w:outlineLvl w:val="2"/>
        <w:rPr>
          <w:rFonts w:ascii="宋体" w:hAnsi="宋体" w:eastAsia="宋体" w:cs="Times New Roman"/>
          <w:b/>
          <w:bCs/>
          <w:color w:val="auto"/>
          <w:sz w:val="24"/>
          <w:szCs w:val="24"/>
          <w:highlight w:val="none"/>
          <w:lang w:val="zh-CN"/>
        </w:rPr>
      </w:pPr>
      <w:bookmarkStart w:id="99" w:name="_Toc7502"/>
      <w:bookmarkStart w:id="100" w:name="_Toc487900364"/>
      <w:bookmarkStart w:id="101" w:name="_Ref467378121"/>
      <w:bookmarkStart w:id="102" w:name="_Toc279701254"/>
      <w:bookmarkStart w:id="103" w:name="_Toc259093683"/>
      <w:r>
        <w:rPr>
          <w:rFonts w:ascii="宋体" w:hAnsi="宋体" w:eastAsia="宋体" w:cs="Times New Roman"/>
          <w:b/>
          <w:bCs/>
          <w:color w:val="auto"/>
          <w:sz w:val="24"/>
          <w:szCs w:val="24"/>
          <w:highlight w:val="none"/>
          <w:lang w:val="zh-CN"/>
        </w:rPr>
        <w:t>2.9 合同变更</w:t>
      </w:r>
      <w:bookmarkEnd w:id="99"/>
    </w:p>
    <w:p w14:paraId="002F309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9</w:t>
      </w:r>
      <w:r>
        <w:rPr>
          <w:rFonts w:hint="eastAsia" w:ascii="宋体" w:hAnsi="宋体" w:eastAsia="宋体" w:cs="Times New Roman"/>
          <w:color w:val="auto"/>
          <w:sz w:val="24"/>
          <w:szCs w:val="24"/>
          <w:highlight w:val="none"/>
        </w:rPr>
        <w:t>.1双方当事人协商一致，可以签订书面补充合同的形式变更合同，但不得违背采购文件确定的事项；</w:t>
      </w:r>
    </w:p>
    <w:p w14:paraId="643F149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9</w:t>
      </w:r>
      <w:r>
        <w:rPr>
          <w:rFonts w:hint="eastAsia" w:ascii="宋体" w:hAnsi="宋体" w:eastAsia="宋体" w:cs="Times New Roman"/>
          <w:color w:val="auto"/>
          <w:sz w:val="24"/>
          <w:szCs w:val="24"/>
          <w:highlight w:val="none"/>
        </w:rPr>
        <w:t>.2合同继续履行将损害国家利益和社会公共利益的，双方当事人应当以书面形式变更合同。有过错的一方应当承担赔偿责任，双方当事人都有过错的，各自承担相应的责任。</w:t>
      </w:r>
      <w:bookmarkStart w:id="104" w:name="_Toc259093688"/>
      <w:bookmarkStart w:id="105" w:name="_Toc279701259"/>
      <w:bookmarkStart w:id="106" w:name="_Toc487900369"/>
    </w:p>
    <w:p w14:paraId="1046A397">
      <w:pPr>
        <w:spacing w:line="360" w:lineRule="auto"/>
        <w:ind w:firstLine="437"/>
        <w:outlineLvl w:val="2"/>
        <w:rPr>
          <w:rFonts w:ascii="宋体" w:hAnsi="宋体" w:eastAsia="宋体" w:cs="Times New Roman"/>
          <w:b/>
          <w:bCs/>
          <w:color w:val="auto"/>
          <w:sz w:val="24"/>
          <w:szCs w:val="24"/>
          <w:highlight w:val="none"/>
          <w:lang w:val="zh-CN"/>
        </w:rPr>
      </w:pPr>
      <w:bookmarkStart w:id="107" w:name="_Toc22955"/>
      <w:bookmarkStart w:id="108" w:name="_Toc10366"/>
      <w:bookmarkStart w:id="109" w:name="_Toc15237"/>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0</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合同转让</w:t>
      </w:r>
      <w:bookmarkEnd w:id="104"/>
      <w:bookmarkEnd w:id="105"/>
      <w:bookmarkEnd w:id="106"/>
      <w:r>
        <w:rPr>
          <w:rFonts w:ascii="宋体" w:hAnsi="宋体" w:eastAsia="宋体" w:cs="Times New Roman"/>
          <w:b/>
          <w:bCs/>
          <w:color w:val="auto"/>
          <w:sz w:val="24"/>
          <w:szCs w:val="24"/>
          <w:highlight w:val="none"/>
          <w:lang w:val="zh-CN"/>
        </w:rPr>
        <w:t>和分包</w:t>
      </w:r>
      <w:bookmarkEnd w:id="107"/>
      <w:bookmarkEnd w:id="108"/>
      <w:bookmarkEnd w:id="109"/>
    </w:p>
    <w:p w14:paraId="37E86F70">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合同的权利义务依法不</w:t>
      </w:r>
      <w:r>
        <w:rPr>
          <w:rFonts w:hint="eastAsia" w:ascii="宋体" w:hAnsi="宋体" w:eastAsia="宋体" w:cs="Times New Roman"/>
          <w:color w:val="auto"/>
          <w:sz w:val="24"/>
          <w:szCs w:val="24"/>
          <w:highlight w:val="none"/>
        </w:rPr>
        <w:t>得</w:t>
      </w:r>
      <w:r>
        <w:rPr>
          <w:rFonts w:ascii="宋体" w:hAnsi="宋体" w:eastAsia="宋体" w:cs="Times New Roman"/>
          <w:color w:val="auto"/>
          <w:sz w:val="24"/>
          <w:szCs w:val="24"/>
          <w:highlight w:val="none"/>
        </w:rPr>
        <w:t>转让</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但经甲方</w:t>
      </w:r>
      <w:r>
        <w:rPr>
          <w:rFonts w:hint="eastAsia" w:ascii="宋体" w:hAnsi="宋体" w:eastAsia="宋体" w:cs="Times New Roman"/>
          <w:color w:val="auto"/>
          <w:sz w:val="24"/>
          <w:szCs w:val="24"/>
          <w:highlight w:val="none"/>
        </w:rPr>
        <w:t>同意，乙方可以依法采取分包方式履行合同，即：依法可以</w:t>
      </w:r>
      <w:r>
        <w:rPr>
          <w:rFonts w:ascii="宋体" w:hAnsi="宋体" w:eastAsia="宋体" w:cs="Times New Roman"/>
          <w:color w:val="auto"/>
          <w:sz w:val="24"/>
          <w:szCs w:val="24"/>
          <w:highlight w:val="none"/>
        </w:rPr>
        <w:t>将合同项下的部分非主体、非关键性工作分包给他人完成</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接受分包的人应当具备相应的资格条件，并不得再次分包</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且乙方应就分包项目向甲方负责</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并</w:t>
      </w:r>
      <w:r>
        <w:rPr>
          <w:rFonts w:hint="eastAsia" w:ascii="宋体" w:hAnsi="宋体" w:eastAsia="宋体" w:cs="Times New Roman"/>
          <w:color w:val="auto"/>
          <w:sz w:val="24"/>
          <w:szCs w:val="24"/>
          <w:highlight w:val="none"/>
        </w:rPr>
        <w:t>与分包供应商就分包项目向甲方承担连带责任。</w:t>
      </w:r>
    </w:p>
    <w:p w14:paraId="36F83614">
      <w:pPr>
        <w:spacing w:line="360" w:lineRule="auto"/>
        <w:ind w:firstLine="437"/>
        <w:outlineLvl w:val="2"/>
        <w:rPr>
          <w:rFonts w:ascii="宋体" w:hAnsi="宋体" w:eastAsia="宋体" w:cs="Times New Roman"/>
          <w:b/>
          <w:bCs/>
          <w:color w:val="auto"/>
          <w:sz w:val="24"/>
          <w:szCs w:val="24"/>
          <w:highlight w:val="none"/>
          <w:lang w:val="zh-CN"/>
        </w:rPr>
      </w:pPr>
      <w:bookmarkStart w:id="110" w:name="_Toc13566"/>
      <w:bookmarkStart w:id="111" w:name="_Toc14066"/>
      <w:bookmarkStart w:id="112" w:name="_Toc16508"/>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1 不可抗力</w:t>
      </w:r>
      <w:bookmarkEnd w:id="110"/>
      <w:bookmarkEnd w:id="111"/>
      <w:bookmarkEnd w:id="112"/>
    </w:p>
    <w:p w14:paraId="037EFD0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1.1如果任何一方遭遇法律规定的不可抗力，致使合同履行受阻时，履行合同的期限应予延长，延长的期限应相当于不可抗力所影响的时间</w:t>
      </w:r>
      <w:r>
        <w:rPr>
          <w:rFonts w:hint="eastAsia" w:ascii="宋体" w:hAnsi="宋体" w:eastAsia="宋体" w:cs="Times New Roman"/>
          <w:color w:val="auto"/>
          <w:sz w:val="24"/>
          <w:szCs w:val="24"/>
          <w:highlight w:val="none"/>
        </w:rPr>
        <w:t>；</w:t>
      </w:r>
    </w:p>
    <w:p w14:paraId="7D49266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.2因不可抗力致使不能实现合同目的的，当事人可以解除合同；</w:t>
      </w:r>
    </w:p>
    <w:p w14:paraId="4005F4C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.3因</w:t>
      </w:r>
      <w:r>
        <w:rPr>
          <w:rFonts w:ascii="宋体" w:hAnsi="宋体" w:eastAsia="宋体" w:cs="Times New Roman"/>
          <w:color w:val="auto"/>
          <w:sz w:val="24"/>
          <w:szCs w:val="24"/>
          <w:highlight w:val="none"/>
        </w:rPr>
        <w:t>不可抗力致使合同有变更必要的，双方当事人应在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约定时间内以书面形式变更合同</w:t>
      </w:r>
      <w:r>
        <w:rPr>
          <w:rFonts w:hint="eastAsia" w:ascii="宋体" w:hAnsi="宋体" w:eastAsia="宋体" w:cs="Times New Roman"/>
          <w:color w:val="auto"/>
          <w:sz w:val="24"/>
          <w:szCs w:val="24"/>
          <w:highlight w:val="none"/>
        </w:rPr>
        <w:t>；</w:t>
      </w:r>
    </w:p>
    <w:p w14:paraId="57D7F86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受</w:t>
      </w:r>
      <w:r>
        <w:rPr>
          <w:rFonts w:hint="eastAsia" w:ascii="宋体" w:hAnsi="宋体" w:eastAsia="宋体" w:cs="Times New Roman"/>
          <w:color w:val="auto"/>
          <w:sz w:val="24"/>
          <w:szCs w:val="24"/>
          <w:highlight w:val="none"/>
        </w:rPr>
        <w:t>不可抗力</w:t>
      </w:r>
      <w:r>
        <w:rPr>
          <w:rFonts w:ascii="宋体" w:hAnsi="宋体" w:eastAsia="宋体" w:cs="Times New Roman"/>
          <w:color w:val="auto"/>
          <w:sz w:val="24"/>
          <w:szCs w:val="24"/>
          <w:highlight w:val="none"/>
        </w:rPr>
        <w:t>影响的一方在不可抗力发生后</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应在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约定时间内以书面形式通知</w:t>
      </w:r>
      <w:r>
        <w:rPr>
          <w:rFonts w:hint="eastAsia" w:ascii="宋体" w:hAnsi="宋体" w:eastAsia="宋体" w:cs="Times New Roman"/>
          <w:color w:val="auto"/>
          <w:sz w:val="24"/>
          <w:szCs w:val="24"/>
          <w:highlight w:val="none"/>
        </w:rPr>
        <w:t>对</w:t>
      </w:r>
      <w:r>
        <w:rPr>
          <w:rFonts w:ascii="宋体" w:hAnsi="宋体" w:eastAsia="宋体" w:cs="Times New Roman"/>
          <w:color w:val="auto"/>
          <w:sz w:val="24"/>
          <w:szCs w:val="24"/>
          <w:highlight w:val="none"/>
        </w:rPr>
        <w:t>方当事人，并在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约定时间内，将有关部门出具的证明文件送达</w:t>
      </w:r>
      <w:r>
        <w:rPr>
          <w:rFonts w:hint="eastAsia" w:ascii="宋体" w:hAnsi="宋体" w:eastAsia="宋体" w:cs="Times New Roman"/>
          <w:color w:val="auto"/>
          <w:sz w:val="24"/>
          <w:szCs w:val="24"/>
          <w:highlight w:val="none"/>
        </w:rPr>
        <w:t>对方当事人</w:t>
      </w:r>
      <w:r>
        <w:rPr>
          <w:rFonts w:ascii="宋体" w:hAnsi="宋体" w:eastAsia="宋体" w:cs="Times New Roman"/>
          <w:color w:val="auto"/>
          <w:sz w:val="24"/>
          <w:szCs w:val="24"/>
          <w:highlight w:val="none"/>
        </w:rPr>
        <w:t>。</w:t>
      </w:r>
    </w:p>
    <w:p w14:paraId="3250D708">
      <w:pPr>
        <w:spacing w:line="360" w:lineRule="auto"/>
        <w:ind w:firstLine="437"/>
        <w:outlineLvl w:val="2"/>
        <w:rPr>
          <w:rFonts w:ascii="宋体" w:hAnsi="宋体" w:eastAsia="宋体" w:cs="Times New Roman"/>
          <w:b/>
          <w:bCs/>
          <w:color w:val="auto"/>
          <w:sz w:val="24"/>
          <w:szCs w:val="24"/>
          <w:highlight w:val="none"/>
          <w:lang w:val="zh-CN"/>
        </w:rPr>
      </w:pPr>
      <w:bookmarkStart w:id="113" w:name="_Toc487900365"/>
      <w:bookmarkStart w:id="114" w:name="_Toc30676"/>
      <w:bookmarkStart w:id="115" w:name="_Toc689"/>
      <w:bookmarkStart w:id="116" w:name="_Toc279701255"/>
      <w:bookmarkStart w:id="117" w:name="_Toc6969"/>
      <w:bookmarkStart w:id="118" w:name="_Toc259093684"/>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12</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税费</w:t>
      </w:r>
      <w:bookmarkEnd w:id="113"/>
      <w:bookmarkEnd w:id="114"/>
      <w:bookmarkEnd w:id="115"/>
      <w:bookmarkEnd w:id="116"/>
      <w:bookmarkEnd w:id="117"/>
      <w:bookmarkEnd w:id="118"/>
    </w:p>
    <w:p w14:paraId="7FEDCB2C">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与合同有关的一切税费</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均按照中华人民共和国法律的相关规定</w:t>
      </w:r>
      <w:r>
        <w:rPr>
          <w:rFonts w:hint="eastAsia" w:ascii="宋体" w:hAnsi="宋体" w:eastAsia="宋体" w:cs="Times New Roman"/>
          <w:color w:val="auto"/>
          <w:sz w:val="24"/>
          <w:szCs w:val="24"/>
          <w:highlight w:val="none"/>
        </w:rPr>
        <w:t>缴纳</w:t>
      </w:r>
      <w:r>
        <w:rPr>
          <w:rFonts w:ascii="宋体" w:hAnsi="宋体" w:eastAsia="宋体" w:cs="Times New Roman"/>
          <w:color w:val="auto"/>
          <w:sz w:val="24"/>
          <w:szCs w:val="24"/>
          <w:highlight w:val="none"/>
        </w:rPr>
        <w:t>。</w:t>
      </w:r>
    </w:p>
    <w:p w14:paraId="09035F7A">
      <w:pPr>
        <w:spacing w:line="360" w:lineRule="auto"/>
        <w:ind w:firstLine="437"/>
        <w:outlineLvl w:val="2"/>
        <w:rPr>
          <w:rFonts w:ascii="宋体" w:hAnsi="宋体" w:eastAsia="宋体" w:cs="Times New Roman"/>
          <w:b/>
          <w:bCs/>
          <w:color w:val="auto"/>
          <w:sz w:val="24"/>
          <w:szCs w:val="24"/>
          <w:highlight w:val="none"/>
          <w:lang w:val="zh-CN"/>
        </w:rPr>
      </w:pPr>
      <w:bookmarkStart w:id="119" w:name="_Toc16959"/>
      <w:bookmarkStart w:id="120" w:name="_Toc487900368"/>
      <w:bookmarkStart w:id="121" w:name="_Toc279701258"/>
      <w:bookmarkStart w:id="122" w:name="_Toc7102"/>
      <w:bookmarkStart w:id="123" w:name="_Toc259093687"/>
      <w:bookmarkStart w:id="124" w:name="_Toc8298"/>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13</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乙方破产</w:t>
      </w:r>
      <w:bookmarkEnd w:id="119"/>
      <w:bookmarkEnd w:id="120"/>
      <w:bookmarkEnd w:id="121"/>
      <w:bookmarkEnd w:id="122"/>
      <w:bookmarkEnd w:id="123"/>
      <w:bookmarkEnd w:id="124"/>
    </w:p>
    <w:p w14:paraId="1AB4F5EA">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如果乙方破产导致合同无法履行时，甲方可以书面形式通知乙方终止合同且不给予乙方任何补偿和赔偿</w:t>
      </w:r>
      <w:r>
        <w:rPr>
          <w:rFonts w:hint="eastAsia" w:ascii="宋体" w:hAnsi="宋体" w:eastAsia="宋体" w:cs="Times New Roman"/>
          <w:color w:val="auto"/>
          <w:sz w:val="24"/>
          <w:szCs w:val="24"/>
          <w:highlight w:val="none"/>
        </w:rPr>
        <w:t>，但合同的</w:t>
      </w:r>
      <w:r>
        <w:rPr>
          <w:rFonts w:ascii="宋体" w:hAnsi="宋体" w:eastAsia="宋体" w:cs="Times New Roman"/>
          <w:color w:val="auto"/>
          <w:sz w:val="24"/>
          <w:szCs w:val="24"/>
          <w:highlight w:val="none"/>
        </w:rPr>
        <w:t>终止不损害或不影响甲方已经采取或将要采取的任何要求乙方支付违约金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赔偿损失等的行动或补救措施的权利</w:t>
      </w:r>
      <w:r>
        <w:rPr>
          <w:rFonts w:hint="eastAsia" w:ascii="宋体" w:hAnsi="宋体" w:eastAsia="宋体" w:cs="Times New Roman"/>
          <w:color w:val="auto"/>
          <w:sz w:val="24"/>
          <w:szCs w:val="24"/>
          <w:highlight w:val="none"/>
        </w:rPr>
        <w:t>。</w:t>
      </w:r>
    </w:p>
    <w:p w14:paraId="43D12B9C">
      <w:pPr>
        <w:spacing w:line="360" w:lineRule="auto"/>
        <w:ind w:firstLine="437"/>
        <w:outlineLvl w:val="2"/>
        <w:rPr>
          <w:rFonts w:ascii="宋体" w:hAnsi="宋体" w:eastAsia="宋体" w:cs="Times New Roman"/>
          <w:b/>
          <w:color w:val="auto"/>
          <w:sz w:val="24"/>
          <w:szCs w:val="24"/>
          <w:highlight w:val="none"/>
        </w:rPr>
      </w:pPr>
      <w:bookmarkStart w:id="125" w:name="_Toc15387"/>
      <w:bookmarkStart w:id="126" w:name="_Toc29333"/>
      <w:bookmarkStart w:id="127" w:name="_Toc6134"/>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4</w:t>
      </w:r>
      <w:r>
        <w:rPr>
          <w:rFonts w:hint="eastAsia" w:ascii="宋体" w:hAnsi="宋体" w:eastAsia="宋体" w:cs="Times New Roman"/>
          <w:b/>
          <w:bCs/>
          <w:color w:val="auto"/>
          <w:sz w:val="24"/>
          <w:szCs w:val="24"/>
          <w:highlight w:val="none"/>
          <w:lang w:val="zh-CN"/>
        </w:rPr>
        <w:t xml:space="preserve"> 合同中止、终止</w:t>
      </w:r>
      <w:bookmarkEnd w:id="125"/>
      <w:bookmarkEnd w:id="126"/>
      <w:bookmarkEnd w:id="127"/>
    </w:p>
    <w:p w14:paraId="7467096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.1双方当事人不得擅自中止或者终止合同；</w:t>
      </w:r>
    </w:p>
    <w:p w14:paraId="4D7BF55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.2合同继续履行将损害国家利益和社会公共利益的，双方当事人应当中止或者终止合同。有过错的一方应当承担赔偿责任，双方当事人都有过错的，各自承担相应的责任。</w:t>
      </w:r>
    </w:p>
    <w:p w14:paraId="2C469A15">
      <w:pPr>
        <w:spacing w:line="360" w:lineRule="auto"/>
        <w:ind w:firstLine="437"/>
        <w:outlineLvl w:val="2"/>
        <w:rPr>
          <w:rFonts w:ascii="宋体" w:hAnsi="宋体" w:eastAsia="宋体" w:cs="Times New Roman"/>
          <w:b/>
          <w:bCs/>
          <w:color w:val="auto"/>
          <w:sz w:val="24"/>
          <w:szCs w:val="24"/>
          <w:highlight w:val="none"/>
          <w:lang w:val="zh-CN"/>
        </w:rPr>
      </w:pPr>
      <w:bookmarkStart w:id="128" w:name="_Toc6596"/>
      <w:bookmarkStart w:id="129" w:name="_Toc1125"/>
      <w:bookmarkStart w:id="130" w:name="_Toc14563"/>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5</w:t>
      </w:r>
      <w:r>
        <w:rPr>
          <w:rFonts w:hint="eastAsia" w:ascii="宋体" w:hAnsi="宋体" w:eastAsia="宋体" w:cs="Times New Roman"/>
          <w:b/>
          <w:bCs/>
          <w:color w:val="auto"/>
          <w:sz w:val="24"/>
          <w:szCs w:val="24"/>
          <w:highlight w:val="none"/>
          <w:lang w:val="zh-CN"/>
        </w:rPr>
        <w:t xml:space="preserve"> 检验和验收</w:t>
      </w:r>
      <w:bookmarkEnd w:id="128"/>
      <w:bookmarkEnd w:id="129"/>
      <w:bookmarkEnd w:id="130"/>
    </w:p>
    <w:p w14:paraId="1B71953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1乙方按照</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的约定</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定期提交服务报告</w:t>
      </w:r>
      <w:r>
        <w:rPr>
          <w:rFonts w:hint="eastAsia" w:ascii="宋体" w:hAnsi="宋体" w:eastAsia="宋体" w:cs="Times New Roman"/>
          <w:color w:val="auto"/>
          <w:sz w:val="24"/>
          <w:szCs w:val="24"/>
          <w:highlight w:val="none"/>
        </w:rPr>
        <w:t>，甲方按照</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的约定进行定期验收</w:t>
      </w:r>
      <w:r>
        <w:rPr>
          <w:rFonts w:hint="eastAsia" w:ascii="宋体" w:hAnsi="宋体" w:eastAsia="宋体" w:cs="Times New Roman"/>
          <w:color w:val="auto"/>
          <w:sz w:val="24"/>
          <w:szCs w:val="24"/>
          <w:highlight w:val="none"/>
        </w:rPr>
        <w:t>；</w:t>
      </w:r>
    </w:p>
    <w:p w14:paraId="6FC3B6A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6A70236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2.15.3检验和验收标准、程序等具体内容以及前述验收书的效力详见</w:t>
      </w:r>
      <w:r>
        <w:rPr>
          <w:rFonts w:ascii="宋体" w:hAnsi="宋体" w:eastAsia="宋体" w:cs="Times New Roman"/>
          <w:b/>
          <w:i/>
          <w:color w:val="auto"/>
          <w:sz w:val="24"/>
          <w:szCs w:val="24"/>
          <w:highlight w:val="none"/>
          <w:u w:val="single"/>
        </w:rPr>
        <w:t>合同专用条款</w:t>
      </w:r>
      <w:r>
        <w:rPr>
          <w:rFonts w:hint="eastAsia" w:ascii="宋体" w:hAnsi="宋体" w:eastAsia="宋体" w:cs="Times New Roman"/>
          <w:i/>
          <w:color w:val="auto"/>
          <w:sz w:val="24"/>
          <w:szCs w:val="24"/>
          <w:highlight w:val="none"/>
        </w:rPr>
        <w:t>。</w:t>
      </w:r>
    </w:p>
    <w:bookmarkEnd w:id="100"/>
    <w:bookmarkEnd w:id="101"/>
    <w:bookmarkEnd w:id="102"/>
    <w:bookmarkEnd w:id="103"/>
    <w:p w14:paraId="7A728F30">
      <w:pPr>
        <w:spacing w:line="360" w:lineRule="auto"/>
        <w:ind w:firstLine="437"/>
        <w:outlineLvl w:val="2"/>
        <w:rPr>
          <w:rFonts w:ascii="宋体" w:hAnsi="宋体" w:eastAsia="宋体" w:cs="Times New Roman"/>
          <w:b/>
          <w:bCs/>
          <w:color w:val="auto"/>
          <w:sz w:val="24"/>
          <w:szCs w:val="24"/>
          <w:highlight w:val="none"/>
        </w:rPr>
      </w:pPr>
      <w:bookmarkStart w:id="131" w:name="_Toc487900373"/>
      <w:bookmarkStart w:id="132" w:name="_Toc18567"/>
      <w:bookmarkStart w:id="133" w:name="_Toc10330"/>
      <w:bookmarkStart w:id="134" w:name="_Toc279701263"/>
      <w:bookmarkStart w:id="135" w:name="_Toc12773"/>
      <w:bookmarkStart w:id="136" w:name="_Toc259093692"/>
      <w:r>
        <w:rPr>
          <w:rFonts w:hint="eastAsia" w:ascii="宋体" w:hAnsi="宋体" w:eastAsia="宋体" w:cs="Times New Roman"/>
          <w:b/>
          <w:bCs/>
          <w:color w:val="auto"/>
          <w:sz w:val="24"/>
          <w:szCs w:val="24"/>
          <w:highlight w:val="none"/>
        </w:rPr>
        <w:t>2.</w:t>
      </w:r>
      <w:r>
        <w:rPr>
          <w:rFonts w:ascii="宋体" w:hAnsi="宋体" w:eastAsia="宋体" w:cs="Times New Roman"/>
          <w:b/>
          <w:bCs/>
          <w:color w:val="auto"/>
          <w:sz w:val="24"/>
          <w:szCs w:val="24"/>
          <w:highlight w:val="none"/>
        </w:rPr>
        <w:t>16</w:t>
      </w:r>
      <w:r>
        <w:rPr>
          <w:rFonts w:hint="eastAsia" w:ascii="宋体" w:hAnsi="宋体" w:eastAsia="宋体" w:cs="Times New Roman"/>
          <w:b/>
          <w:bCs/>
          <w:color w:val="auto"/>
          <w:sz w:val="24"/>
          <w:szCs w:val="24"/>
          <w:highlight w:val="none"/>
        </w:rPr>
        <w:t xml:space="preserve"> </w:t>
      </w:r>
      <w:r>
        <w:rPr>
          <w:rFonts w:hint="eastAsia" w:ascii="宋体" w:hAnsi="宋体" w:eastAsia="宋体" w:cs="Times New Roman"/>
          <w:b/>
          <w:bCs/>
          <w:color w:val="auto"/>
          <w:sz w:val="24"/>
          <w:szCs w:val="24"/>
          <w:highlight w:val="none"/>
          <w:lang w:val="zh-CN"/>
        </w:rPr>
        <w:t>合同使用的文字和</w:t>
      </w:r>
      <w:r>
        <w:rPr>
          <w:rFonts w:ascii="宋体" w:hAnsi="宋体" w:eastAsia="宋体" w:cs="Times New Roman"/>
          <w:b/>
          <w:bCs/>
          <w:color w:val="auto"/>
          <w:sz w:val="24"/>
          <w:szCs w:val="24"/>
          <w:highlight w:val="none"/>
          <w:lang w:val="zh-CN"/>
        </w:rPr>
        <w:t>适用的法律</w:t>
      </w:r>
      <w:bookmarkEnd w:id="131"/>
      <w:bookmarkEnd w:id="132"/>
      <w:bookmarkEnd w:id="133"/>
      <w:bookmarkEnd w:id="134"/>
      <w:bookmarkEnd w:id="135"/>
      <w:bookmarkEnd w:id="136"/>
    </w:p>
    <w:p w14:paraId="577857B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16.1合同使用汉语书就</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变更和解释</w:t>
      </w:r>
      <w:r>
        <w:rPr>
          <w:rFonts w:hint="eastAsia" w:ascii="宋体" w:hAnsi="宋体" w:eastAsia="宋体" w:cs="Times New Roman"/>
          <w:color w:val="auto"/>
          <w:sz w:val="24"/>
          <w:szCs w:val="24"/>
          <w:highlight w:val="none"/>
        </w:rPr>
        <w:t>；</w:t>
      </w:r>
    </w:p>
    <w:p w14:paraId="057FF45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16</w:t>
      </w:r>
      <w:r>
        <w:rPr>
          <w:rFonts w:hint="eastAsia" w:ascii="宋体" w:hAnsi="宋体" w:eastAsia="宋体" w:cs="Times New Roman"/>
          <w:color w:val="auto"/>
          <w:sz w:val="24"/>
          <w:szCs w:val="24"/>
          <w:highlight w:val="none"/>
        </w:rPr>
        <w:t>.2合同适用</w:t>
      </w:r>
      <w:r>
        <w:rPr>
          <w:rFonts w:ascii="宋体" w:hAnsi="宋体" w:eastAsia="宋体" w:cs="Times New Roman"/>
          <w:color w:val="auto"/>
          <w:sz w:val="24"/>
          <w:szCs w:val="24"/>
          <w:highlight w:val="none"/>
        </w:rPr>
        <w:t>中华人民共和国法律。</w:t>
      </w:r>
    </w:p>
    <w:p w14:paraId="4A692B5F">
      <w:pPr>
        <w:spacing w:line="360" w:lineRule="auto"/>
        <w:ind w:firstLine="437"/>
        <w:outlineLvl w:val="2"/>
        <w:rPr>
          <w:rFonts w:ascii="宋体" w:hAnsi="宋体" w:eastAsia="宋体" w:cs="Times New Roman"/>
          <w:b/>
          <w:color w:val="auto"/>
          <w:sz w:val="24"/>
          <w:szCs w:val="24"/>
          <w:highlight w:val="none"/>
        </w:rPr>
      </w:pPr>
      <w:bookmarkStart w:id="137" w:name="_Toc259093693"/>
      <w:bookmarkStart w:id="138" w:name="_Toc16673"/>
      <w:bookmarkStart w:id="139" w:name="_Toc279701264"/>
      <w:bookmarkStart w:id="140" w:name="_Toc3148"/>
      <w:bookmarkStart w:id="141" w:name="_Toc12004"/>
      <w:bookmarkStart w:id="142" w:name="_Toc487900374"/>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17</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履约保证金</w:t>
      </w:r>
      <w:bookmarkEnd w:id="137"/>
      <w:bookmarkEnd w:id="138"/>
      <w:bookmarkEnd w:id="139"/>
      <w:bookmarkEnd w:id="140"/>
      <w:bookmarkEnd w:id="141"/>
    </w:p>
    <w:p w14:paraId="2E2EA791">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w:t>
      </w:r>
      <w:r>
        <w:rPr>
          <w:rFonts w:hint="eastAsia" w:ascii="宋体" w:hAnsi="宋体" w:eastAsia="宋体" w:cs="Times New Roman"/>
          <w:color w:val="auto"/>
          <w:sz w:val="24"/>
          <w:szCs w:val="24"/>
          <w:highlight w:val="none"/>
        </w:rPr>
        <w:t>.1采购文件要求乙方提交履约保证金的，乙方</w:t>
      </w:r>
      <w:r>
        <w:rPr>
          <w:rFonts w:ascii="宋体" w:hAnsi="宋体" w:eastAsia="宋体" w:cs="Times New Roman"/>
          <w:color w:val="auto"/>
          <w:sz w:val="24"/>
          <w:szCs w:val="24"/>
          <w:highlight w:val="none"/>
        </w:rPr>
        <w:t>应按</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约定的方式</w:t>
      </w:r>
      <w:r>
        <w:rPr>
          <w:rFonts w:hint="eastAsia" w:ascii="宋体" w:hAnsi="宋体" w:eastAsia="宋体" w:cs="Times New Roman"/>
          <w:color w:val="auto"/>
          <w:sz w:val="24"/>
          <w:szCs w:val="24"/>
          <w:highlight w:val="none"/>
        </w:rPr>
        <w:t>，以支票、汇票、本票或者金融机构、担保机构出具的保函等非现金形式提交；</w:t>
      </w:r>
    </w:p>
    <w:p w14:paraId="55D4C07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17.2履约保证金在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约定期间内不予退还或者应完全有效</w:t>
      </w:r>
      <w:r>
        <w:rPr>
          <w:rFonts w:hint="eastAsia" w:ascii="宋体" w:hAnsi="宋体" w:eastAsia="宋体" w:cs="Times New Roman"/>
          <w:color w:val="auto"/>
          <w:sz w:val="24"/>
          <w:szCs w:val="24"/>
          <w:highlight w:val="none"/>
        </w:rPr>
        <w:t>，前述约定期间届满</w:t>
      </w:r>
      <w:r>
        <w:rPr>
          <w:rFonts w:ascii="宋体" w:hAnsi="宋体" w:eastAsia="宋体" w:cs="Times New Roman"/>
          <w:color w:val="auto"/>
          <w:sz w:val="24"/>
          <w:szCs w:val="24"/>
          <w:highlight w:val="none"/>
        </w:rPr>
        <w:t>之日起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3</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个</w:t>
      </w:r>
      <w:r>
        <w:rPr>
          <w:rFonts w:ascii="宋体" w:hAnsi="宋体" w:eastAsia="宋体" w:cs="Times New Roman"/>
          <w:color w:val="auto"/>
          <w:sz w:val="24"/>
          <w:szCs w:val="24"/>
          <w:highlight w:val="none"/>
        </w:rPr>
        <w:t>工作日内，甲方应将履约保证金退还乙方</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甲方</w:t>
      </w:r>
      <w:r>
        <w:rPr>
          <w:rFonts w:hint="eastAsia" w:ascii="宋体" w:hAnsi="宋体" w:eastAsia="宋体" w:cs="Times New Roman"/>
          <w:color w:val="auto"/>
          <w:sz w:val="24"/>
          <w:szCs w:val="24"/>
          <w:highlight w:val="none"/>
        </w:rPr>
        <w:t>逾期退还履约保证金</w:t>
      </w:r>
      <w:r>
        <w:rPr>
          <w:rFonts w:hint="eastAsia" w:ascii="宋体" w:hAnsi="宋体" w:eastAsia="宋体" w:cs="Times New Roman"/>
          <w:color w:val="auto"/>
          <w:sz w:val="24"/>
          <w:szCs w:val="24"/>
          <w:highlight w:val="none"/>
          <w:lang w:val="en-US" w:eastAsia="zh-CN"/>
        </w:rPr>
        <w:t>应承担违约责任。</w:t>
      </w:r>
    </w:p>
    <w:p w14:paraId="10DB58E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如果乙方不履行合同</w:t>
      </w:r>
      <w:r>
        <w:rPr>
          <w:rFonts w:hint="eastAsia" w:ascii="宋体" w:hAnsi="宋体" w:eastAsia="宋体" w:cs="Times New Roman"/>
          <w:color w:val="auto"/>
          <w:sz w:val="24"/>
          <w:szCs w:val="24"/>
          <w:highlight w:val="none"/>
        </w:rPr>
        <w:t>，履约保证金不予退还；如果乙方</w:t>
      </w:r>
      <w:r>
        <w:rPr>
          <w:rFonts w:ascii="宋体" w:hAnsi="宋体" w:eastAsia="宋体" w:cs="Times New Roman"/>
          <w:color w:val="auto"/>
          <w:sz w:val="24"/>
          <w:szCs w:val="24"/>
          <w:highlight w:val="none"/>
        </w:rPr>
        <w:t>未能按合同</w:t>
      </w:r>
      <w:r>
        <w:rPr>
          <w:rFonts w:hint="eastAsia" w:ascii="宋体" w:hAnsi="宋体" w:eastAsia="宋体" w:cs="Times New Roman"/>
          <w:color w:val="auto"/>
          <w:sz w:val="24"/>
          <w:szCs w:val="24"/>
          <w:highlight w:val="none"/>
        </w:rPr>
        <w:t>约</w:t>
      </w:r>
      <w:r>
        <w:rPr>
          <w:rFonts w:ascii="宋体" w:hAnsi="宋体" w:eastAsia="宋体" w:cs="Times New Roman"/>
          <w:color w:val="auto"/>
          <w:sz w:val="24"/>
          <w:szCs w:val="24"/>
          <w:highlight w:val="none"/>
        </w:rPr>
        <w:t>定全面履行义务，那么甲方有权从履约保证金中取得补偿或赔偿</w:t>
      </w:r>
      <w:r>
        <w:rPr>
          <w:rFonts w:hint="eastAsia" w:ascii="宋体" w:hAnsi="宋体" w:eastAsia="宋体" w:cs="Times New Roman"/>
          <w:color w:val="auto"/>
          <w:sz w:val="24"/>
          <w:szCs w:val="24"/>
          <w:highlight w:val="none"/>
        </w:rPr>
        <w:t>，同时不影响甲方要求乙方承担合同约定的超过履约保证金的违约责任的权利。</w:t>
      </w:r>
    </w:p>
    <w:bookmarkEnd w:id="142"/>
    <w:p w14:paraId="0E54292E">
      <w:pPr>
        <w:spacing w:line="360" w:lineRule="auto"/>
        <w:ind w:firstLine="437"/>
        <w:outlineLvl w:val="2"/>
        <w:rPr>
          <w:rFonts w:ascii="宋体" w:hAnsi="宋体" w:eastAsia="宋体" w:cs="Times New Roman"/>
          <w:b/>
          <w:color w:val="auto"/>
          <w:sz w:val="24"/>
          <w:szCs w:val="24"/>
          <w:highlight w:val="none"/>
        </w:rPr>
      </w:pPr>
      <w:bookmarkStart w:id="143" w:name="_Toc19890"/>
      <w:bookmarkStart w:id="144" w:name="_Toc6885"/>
      <w:bookmarkStart w:id="145" w:name="_Toc14001"/>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18</w:t>
      </w:r>
      <w:r>
        <w:rPr>
          <w:rFonts w:hint="eastAsia" w:ascii="宋体" w:hAnsi="宋体" w:eastAsia="宋体" w:cs="Times New Roman"/>
          <w:b/>
          <w:bCs/>
          <w:color w:val="auto"/>
          <w:sz w:val="24"/>
          <w:szCs w:val="24"/>
          <w:highlight w:val="none"/>
          <w:lang w:val="zh-CN"/>
        </w:rPr>
        <w:t xml:space="preserve"> 合同份数</w:t>
      </w:r>
      <w:bookmarkEnd w:id="143"/>
      <w:bookmarkEnd w:id="144"/>
      <w:bookmarkEnd w:id="145"/>
    </w:p>
    <w:p w14:paraId="67DF6671">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合同份数按</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规定</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每份均具有同等法律效力</w:t>
      </w:r>
      <w:r>
        <w:rPr>
          <w:rFonts w:hint="eastAsia" w:ascii="宋体" w:hAnsi="宋体" w:eastAsia="宋体" w:cs="Times New Roman"/>
          <w:color w:val="auto"/>
          <w:sz w:val="24"/>
          <w:szCs w:val="24"/>
          <w:highlight w:val="none"/>
        </w:rPr>
        <w:t>。</w:t>
      </w:r>
    </w:p>
    <w:p w14:paraId="34019FC4"/>
    <w:p w14:paraId="143B8E02"/>
    <w:p w14:paraId="02702205"/>
    <w:p w14:paraId="6850AD53"/>
    <w:p w14:paraId="6F20886F"/>
    <w:p w14:paraId="234C6634"/>
    <w:p w14:paraId="22D0B33A"/>
    <w:p w14:paraId="2950CD99"/>
    <w:p w14:paraId="0376EA84"/>
    <w:p w14:paraId="25637583"/>
    <w:p w14:paraId="0B53D136"/>
    <w:p w14:paraId="42F32FEA"/>
    <w:p w14:paraId="70CD09B9"/>
    <w:p w14:paraId="7C030B3B">
      <w:pPr>
        <w:spacing w:line="360" w:lineRule="auto"/>
        <w:jc w:val="center"/>
        <w:outlineLvl w:val="1"/>
        <w:rPr>
          <w:rFonts w:hint="eastAsia" w:ascii="宋体"/>
          <w:b/>
          <w:color w:val="auto"/>
          <w:sz w:val="30"/>
          <w:szCs w:val="30"/>
          <w:highlight w:val="none"/>
        </w:rPr>
      </w:pPr>
      <w:r>
        <w:rPr>
          <w:rFonts w:hint="eastAsia" w:ascii="宋体"/>
          <w:b/>
          <w:color w:val="auto"/>
          <w:sz w:val="30"/>
          <w:szCs w:val="30"/>
          <w:highlight w:val="none"/>
          <w:lang w:eastAsia="zh-CN"/>
        </w:rPr>
        <w:t>三、</w:t>
      </w:r>
      <w:r>
        <w:rPr>
          <w:rFonts w:hint="eastAsia" w:ascii="宋体"/>
          <w:b/>
          <w:color w:val="auto"/>
          <w:sz w:val="30"/>
          <w:szCs w:val="30"/>
          <w:highlight w:val="none"/>
        </w:rPr>
        <w:t xml:space="preserve"> 合同专用条款</w:t>
      </w:r>
    </w:p>
    <w:p w14:paraId="14B6808D">
      <w:pPr>
        <w:keepNext w:val="0"/>
        <w:keepLines w:val="0"/>
        <w:pageBreakBefore w:val="0"/>
        <w:widowControl w:val="0"/>
        <w:kinsoku/>
        <w:wordWrap/>
        <w:overflowPunct/>
        <w:topLinePunct w:val="0"/>
        <w:autoSpaceDE/>
        <w:autoSpaceDN/>
        <w:bidi w:val="0"/>
        <w:adjustRightInd/>
        <w:snapToGrid/>
        <w:spacing w:line="500" w:lineRule="exact"/>
        <w:ind w:firstLine="437"/>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3"/>
        <w:gridCol w:w="7569"/>
      </w:tblGrid>
      <w:tr w14:paraId="7FDE34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3" w:type="dxa"/>
            <w:tcBorders>
              <w:left w:val="single" w:color="auto" w:sz="4" w:space="0"/>
            </w:tcBorders>
            <w:noWrap w:val="0"/>
            <w:vAlign w:val="center"/>
          </w:tcPr>
          <w:p w14:paraId="3963C2E5">
            <w:pPr>
              <w:keepNext w:val="0"/>
              <w:keepLines w:val="0"/>
              <w:suppressLineNumbers w:val="0"/>
              <w:spacing w:before="0" w:beforeAutospacing="0" w:after="0" w:afterAutospacing="0"/>
              <w:ind w:left="0" w:right="0"/>
              <w:jc w:val="center"/>
              <w:rPr>
                <w:rFonts w:hint="default" w:ascii="宋体" w:hAnsi="宋体"/>
                <w:b/>
                <w:color w:val="auto"/>
                <w:szCs w:val="21"/>
                <w:highlight w:val="none"/>
              </w:rPr>
            </w:pPr>
            <w:r>
              <w:rPr>
                <w:rFonts w:hint="default" w:ascii="宋体" w:hAnsi="宋体"/>
                <w:b/>
                <w:color w:val="auto"/>
                <w:szCs w:val="21"/>
                <w:highlight w:val="none"/>
              </w:rPr>
              <w:t>条款号</w:t>
            </w:r>
          </w:p>
        </w:tc>
        <w:tc>
          <w:tcPr>
            <w:tcW w:w="7569" w:type="dxa"/>
            <w:noWrap w:val="0"/>
            <w:vAlign w:val="center"/>
          </w:tcPr>
          <w:p w14:paraId="06B069A5">
            <w:pPr>
              <w:keepNext w:val="0"/>
              <w:keepLines w:val="0"/>
              <w:suppressLineNumbers w:val="0"/>
              <w:spacing w:before="0" w:beforeAutospacing="0" w:after="0" w:afterAutospacing="0"/>
              <w:ind w:left="0" w:right="0"/>
              <w:jc w:val="center"/>
              <w:rPr>
                <w:rFonts w:hint="default" w:ascii="宋体" w:hAnsi="宋体"/>
                <w:b/>
                <w:color w:val="auto"/>
                <w:szCs w:val="21"/>
                <w:highlight w:val="none"/>
              </w:rPr>
            </w:pPr>
            <w:r>
              <w:rPr>
                <w:rFonts w:hint="eastAsia" w:ascii="宋体" w:hAnsi="宋体" w:eastAsia="宋体" w:cs="宋体"/>
                <w:color w:val="auto"/>
                <w:szCs w:val="21"/>
                <w:highlight w:val="none"/>
              </w:rPr>
              <w:t>约定内容</w:t>
            </w:r>
          </w:p>
        </w:tc>
      </w:tr>
      <w:tr w14:paraId="0B6793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3" w:type="dxa"/>
            <w:tcBorders>
              <w:left w:val="single" w:color="auto" w:sz="4" w:space="0"/>
            </w:tcBorders>
            <w:noWrap w:val="0"/>
            <w:vAlign w:val="center"/>
          </w:tcPr>
          <w:p w14:paraId="570D291F">
            <w:pPr>
              <w:keepNext w:val="0"/>
              <w:keepLines w:val="0"/>
              <w:pageBreakBefore w:val="0"/>
              <w:kinsoku/>
              <w:wordWrap/>
              <w:overflowPunct/>
              <w:topLinePunct w:val="0"/>
              <w:bidi w:val="0"/>
              <w:snapToGrid/>
              <w:spacing w:line="440" w:lineRule="exact"/>
              <w:jc w:val="center"/>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2.5</w:t>
            </w:r>
          </w:p>
        </w:tc>
        <w:tc>
          <w:tcPr>
            <w:tcW w:w="7569" w:type="dxa"/>
            <w:noWrap w:val="0"/>
            <w:vAlign w:val="center"/>
          </w:tcPr>
          <w:p w14:paraId="49CCF571">
            <w:pPr>
              <w:keepNext w:val="0"/>
              <w:keepLines w:val="0"/>
              <w:pageBreakBefore w:val="0"/>
              <w:kinsoku/>
              <w:wordWrap/>
              <w:overflowPunct/>
              <w:topLinePunct w:val="0"/>
              <w:bidi w:val="0"/>
              <w:snapToGrid/>
              <w:spacing w:line="440" w:lineRule="exact"/>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付款方式：</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b w:val="0"/>
                <w:color w:val="auto"/>
                <w:sz w:val="24"/>
                <w:highlight w:val="none"/>
                <w:u w:val="single"/>
                <w:lang w:val="en-US" w:eastAsia="zh-CN"/>
              </w:rPr>
              <w:t>合同签订后 ，达到付款条件起 10 日内，支付合同总金额的 40.00%。（2） 剩余部分按季度结算，甲方于每个季度结束后进行验收考评，劳务服务成果验收合格后，中标公司提供合法的正式发票(含税价)，达到付款条件起 10 日内。</w:t>
            </w:r>
            <w:bookmarkStart w:id="146" w:name="_GoBack"/>
            <w:bookmarkEnd w:id="146"/>
            <w:r>
              <w:rPr>
                <w:rFonts w:hint="eastAsia" w:ascii="宋体" w:hAnsi="宋体" w:eastAsia="宋体" w:cs="宋体"/>
                <w:b w:val="0"/>
                <w:color w:val="auto"/>
                <w:sz w:val="24"/>
                <w:highlight w:val="none"/>
                <w:u w:val="single"/>
                <w:lang w:val="en-US" w:eastAsia="zh-CN"/>
              </w:rPr>
              <w:t>支付合同总金额的 60.00%。。</w:t>
            </w:r>
          </w:p>
        </w:tc>
      </w:tr>
      <w:tr w14:paraId="41012A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2F16B026">
            <w:pPr>
              <w:keepNext w:val="0"/>
              <w:keepLines w:val="0"/>
              <w:pageBreakBefore w:val="0"/>
              <w:kinsoku/>
              <w:wordWrap/>
              <w:overflowPunct/>
              <w:topLinePunct w:val="0"/>
              <w:bidi w:val="0"/>
              <w:snapToGrid/>
              <w:spacing w:line="440" w:lineRule="exact"/>
              <w:jc w:val="center"/>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2.11.3</w:t>
            </w:r>
          </w:p>
        </w:tc>
        <w:tc>
          <w:tcPr>
            <w:tcW w:w="7569" w:type="dxa"/>
            <w:noWrap w:val="0"/>
            <w:vAlign w:val="center"/>
          </w:tcPr>
          <w:p w14:paraId="1AD0FBA1">
            <w:pPr>
              <w:keepNext w:val="0"/>
              <w:keepLines w:val="0"/>
              <w:pageBreakBefore w:val="0"/>
              <w:kinsoku/>
              <w:wordWrap/>
              <w:overflowPunct/>
              <w:topLinePunct w:val="0"/>
              <w:bidi w:val="0"/>
              <w:snapToGrid/>
              <w:spacing w:line="440" w:lineRule="exact"/>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rPr>
              <w:t>因不可抗力致使合同有变更必要的，双方当事人应在不可抗力发生的3个工作日内以书面形式变更合同</w:t>
            </w:r>
          </w:p>
        </w:tc>
      </w:tr>
      <w:tr w14:paraId="5417D5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285E5FC9">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r>
              <w:rPr>
                <w:rFonts w:hint="eastAsia" w:ascii="宋体" w:hAnsi="宋体" w:eastAsia="宋体" w:cs="宋体"/>
                <w:color w:val="auto"/>
                <w:sz w:val="24"/>
                <w:szCs w:val="24"/>
                <w:highlight w:val="none"/>
                <w:lang w:val="en-US" w:eastAsia="zh-CN"/>
              </w:rPr>
              <w:t>2.11.4</w:t>
            </w:r>
          </w:p>
        </w:tc>
        <w:tc>
          <w:tcPr>
            <w:tcW w:w="7569" w:type="dxa"/>
            <w:noWrap w:val="0"/>
            <w:vAlign w:val="center"/>
          </w:tcPr>
          <w:p w14:paraId="02F84C88">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rPr>
            </w:pPr>
            <w:r>
              <w:rPr>
                <w:rFonts w:hint="eastAsia" w:ascii="宋体" w:hAnsi="宋体" w:eastAsia="宋体" w:cs="宋体"/>
                <w:color w:val="auto"/>
                <w:sz w:val="24"/>
                <w:szCs w:val="24"/>
                <w:highlight w:val="none"/>
              </w:rPr>
              <w:t>受不可抗力影响的一方在不可抗力发生后，应在不可抗力发生的1个工作日内以书面形式通知对方当事人，并在1个工作日内，将有关部门出具的证明文件送达对方当事人</w:t>
            </w:r>
          </w:p>
        </w:tc>
      </w:tr>
      <w:tr w14:paraId="6A2103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3FE0BBE2">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r>
              <w:rPr>
                <w:rFonts w:hint="eastAsia" w:ascii="宋体" w:hAnsi="宋体" w:eastAsia="宋体" w:cs="宋体"/>
                <w:color w:val="auto"/>
                <w:sz w:val="24"/>
                <w:szCs w:val="24"/>
                <w:highlight w:val="none"/>
                <w:lang w:val="en-US" w:eastAsia="zh-CN"/>
              </w:rPr>
              <w:t>2.18</w:t>
            </w:r>
          </w:p>
        </w:tc>
        <w:tc>
          <w:tcPr>
            <w:tcW w:w="7569" w:type="dxa"/>
            <w:noWrap w:val="0"/>
            <w:vAlign w:val="center"/>
          </w:tcPr>
          <w:p w14:paraId="3D928899">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rPr>
            </w:pPr>
            <w:r>
              <w:rPr>
                <w:rFonts w:hint="eastAsia" w:ascii="宋体" w:hAnsi="宋体" w:eastAsia="宋体" w:cs="宋体"/>
                <w:color w:val="auto"/>
                <w:sz w:val="24"/>
                <w:szCs w:val="24"/>
                <w:highlight w:val="none"/>
                <w:u w:val="single"/>
              </w:rPr>
              <w:t>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份。</w:t>
            </w:r>
          </w:p>
        </w:tc>
      </w:tr>
      <w:tr w14:paraId="58547E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0D411EC7">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p>
        </w:tc>
        <w:tc>
          <w:tcPr>
            <w:tcW w:w="7569" w:type="dxa"/>
            <w:noWrap w:val="0"/>
            <w:vAlign w:val="center"/>
          </w:tcPr>
          <w:p w14:paraId="5BCFE01A">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u w:val="single"/>
              </w:rPr>
            </w:pPr>
            <w:r>
              <w:rPr>
                <w:rFonts w:hint="eastAsia" w:ascii="宋体" w:hAnsi="宋体" w:eastAsia="宋体" w:cs="宋体"/>
                <w:color w:val="auto"/>
                <w:sz w:val="24"/>
                <w:szCs w:val="24"/>
                <w:highlight w:val="none"/>
              </w:rPr>
              <w:t>（签订合同时可补充）</w:t>
            </w:r>
          </w:p>
        </w:tc>
      </w:tr>
      <w:tr w14:paraId="0F5B6B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22F436FC">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331521D4">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4D0984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404A8E72">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29F421DA">
            <w:pPr>
              <w:keepNext w:val="0"/>
              <w:keepLines w:val="0"/>
              <w:suppressLineNumbers w:val="0"/>
              <w:spacing w:before="0" w:beforeAutospacing="0" w:after="0" w:afterAutospacing="0" w:line="560" w:lineRule="exact"/>
              <w:ind w:left="0" w:right="0"/>
              <w:rPr>
                <w:rFonts w:hint="default" w:ascii="宋体" w:hAnsi="宋体"/>
                <w:color w:val="auto"/>
                <w:szCs w:val="21"/>
                <w:highlight w:val="none"/>
                <w:u w:val="single"/>
              </w:rPr>
            </w:pPr>
          </w:p>
        </w:tc>
      </w:tr>
      <w:tr w14:paraId="650428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21025545">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5400FD57">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D382C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721FC62F">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46D0F24A">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657F3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51A6AF79">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5775B8C9">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4CEB0E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top w:val="single" w:color="auto" w:sz="6" w:space="0"/>
              <w:left w:val="single" w:color="auto" w:sz="4" w:space="0"/>
              <w:bottom w:val="single" w:color="auto" w:sz="6" w:space="0"/>
              <w:right w:val="single" w:color="auto" w:sz="6" w:space="0"/>
            </w:tcBorders>
            <w:noWrap w:val="0"/>
            <w:vAlign w:val="center"/>
          </w:tcPr>
          <w:p w14:paraId="2EEF28B5">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tcBorders>
              <w:top w:val="single" w:color="auto" w:sz="6" w:space="0"/>
              <w:left w:val="single" w:color="auto" w:sz="6" w:space="0"/>
              <w:bottom w:val="single" w:color="auto" w:sz="6" w:space="0"/>
              <w:right w:val="single" w:color="auto" w:sz="6" w:space="0"/>
            </w:tcBorders>
            <w:noWrap w:val="0"/>
            <w:vAlign w:val="center"/>
          </w:tcPr>
          <w:p w14:paraId="2A2C45FD">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8DDE0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top w:val="single" w:color="auto" w:sz="6" w:space="0"/>
              <w:left w:val="single" w:color="auto" w:sz="4" w:space="0"/>
              <w:bottom w:val="single" w:color="auto" w:sz="6" w:space="0"/>
              <w:right w:val="single" w:color="auto" w:sz="6" w:space="0"/>
            </w:tcBorders>
            <w:noWrap w:val="0"/>
            <w:vAlign w:val="center"/>
          </w:tcPr>
          <w:p w14:paraId="567BD657">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tcBorders>
              <w:top w:val="single" w:color="auto" w:sz="6" w:space="0"/>
              <w:left w:val="single" w:color="auto" w:sz="6" w:space="0"/>
              <w:bottom w:val="single" w:color="auto" w:sz="6" w:space="0"/>
              <w:right w:val="single" w:color="auto" w:sz="6" w:space="0"/>
            </w:tcBorders>
            <w:noWrap w:val="0"/>
            <w:vAlign w:val="center"/>
          </w:tcPr>
          <w:p w14:paraId="0DEAB7B4">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bl>
    <w:p w14:paraId="50A7620C"/>
    <w:p w14:paraId="70C88F14"/>
    <w:p w14:paraId="4AFB7337"/>
    <w:p w14:paraId="7093852C"/>
    <w:p w14:paraId="17B8C9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36FA2"/>
    <w:rsid w:val="27A36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2025-11-19T02:39:00Z</dcterms:created>
  <dc:creator>zzzzz</dc:creator>
  <cp:lastModifiedBy>zzzzz</cp:lastModifiedBy>
  <dcterms:modified xsi:type="dcterms:W3CDTF">2025-11-19T03:22:00Z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FDCE1E92187F42EE801C74A42B1D358A_11</vt:lpwstr>
  </property>
  <property fmtid="{D5CDD505-2E9C-101B-9397-08002B2CF9AE}" pid="4" name="KSOTemplateDocerSaveRecord">
    <vt:lpwstr>eyJoZGlkIjoiZDAzYzBjYjgxYmM3OGVlNjZhY2ZjYTY0NzAzMGUzYTciLCJ1c2VySWQiOiI0NTYwNDAyMDIifQ==</vt:lpwstr>
  </property>
</Properties>
</file>