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F5CE4">
      <w:pPr>
        <w:pStyle w:val="2"/>
        <w:spacing w:line="360" w:lineRule="auto"/>
        <w:rPr>
          <w:rFonts w:hint="eastAsia" w:ascii="仿宋" w:hAnsi="仿宋" w:eastAsia="仿宋" w:cs="仿宋"/>
          <w:highlight w:val="none"/>
          <w:lang w:val="en-US" w:eastAsia="zh-CN"/>
        </w:rPr>
      </w:pPr>
    </w:p>
    <w:p w14:paraId="7BB3AF50">
      <w:pPr>
        <w:widowControl w:val="0"/>
        <w:spacing w:line="360" w:lineRule="auto"/>
        <w:ind w:left="0" w:leftChars="0" w:firstLine="0" w:firstLineChars="0"/>
        <w:jc w:val="both"/>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项目编号:</w:t>
      </w:r>
    </w:p>
    <w:p w14:paraId="2526346C">
      <w:pPr>
        <w:pStyle w:val="7"/>
        <w:rPr>
          <w:rFonts w:hint="eastAsia" w:ascii="仿宋" w:hAnsi="仿宋" w:eastAsia="仿宋" w:cs="仿宋"/>
          <w:lang w:val="en-US" w:eastAsia="zh-CN"/>
        </w:rPr>
      </w:pPr>
    </w:p>
    <w:p w14:paraId="7D6BAE3A">
      <w:pPr>
        <w:widowControl w:val="0"/>
        <w:ind w:left="0" w:leftChars="0" w:firstLine="0" w:firstLineChars="0"/>
        <w:jc w:val="both"/>
        <w:rPr>
          <w:rFonts w:hint="eastAsia" w:ascii="仿宋" w:hAnsi="仿宋" w:eastAsia="仿宋" w:cs="仿宋"/>
          <w:color w:val="auto"/>
          <w:sz w:val="28"/>
          <w:szCs w:val="28"/>
          <w:lang w:val="en-US" w:eastAsia="zh-CN" w:bidi="ar-SA"/>
        </w:rPr>
      </w:pPr>
    </w:p>
    <w:p w14:paraId="02182879">
      <w:pPr>
        <w:pStyle w:val="5"/>
        <w:jc w:val="center"/>
        <w:rPr>
          <w:rFonts w:hint="eastAsia" w:ascii="仿宋" w:hAnsi="仿宋" w:eastAsia="仿宋_GB2312" w:cs="仿宋"/>
          <w:b/>
          <w:bCs w:val="0"/>
          <w:color w:val="auto"/>
          <w:kern w:val="0"/>
          <w:sz w:val="44"/>
          <w:szCs w:val="44"/>
          <w:lang w:val="en-US" w:eastAsia="zh-CN"/>
        </w:rPr>
      </w:pPr>
      <w:r>
        <w:rPr>
          <w:rFonts w:hint="eastAsia" w:ascii="仿宋_GB2312" w:hAnsi="仿宋_GB2312" w:eastAsia="仿宋_GB2312" w:cs="仿宋_GB2312"/>
          <w:b/>
          <w:sz w:val="30"/>
          <w:szCs w:val="30"/>
          <w:lang w:val="en-US" w:eastAsia="zh-CN"/>
        </w:rPr>
        <w:t>渭南市临渭区普惠托育中心设施设备</w:t>
      </w:r>
      <w:r>
        <w:rPr>
          <w:rFonts w:ascii="仿宋_GB2312" w:hAnsi="仿宋_GB2312" w:eastAsia="仿宋_GB2312" w:cs="仿宋_GB2312"/>
          <w:b/>
          <w:sz w:val="30"/>
          <w:szCs w:val="30"/>
        </w:rPr>
        <w:t>采购项目</w:t>
      </w:r>
      <w:r>
        <w:rPr>
          <w:rFonts w:hint="eastAsia" w:ascii="仿宋_GB2312" w:hAnsi="仿宋_GB2312" w:eastAsia="仿宋_GB2312" w:cs="仿宋_GB2312"/>
          <w:b/>
          <w:sz w:val="30"/>
          <w:szCs w:val="30"/>
          <w:lang w:eastAsia="zh-CN"/>
        </w:rPr>
        <w:t>（</w:t>
      </w:r>
      <w:r>
        <w:rPr>
          <w:rFonts w:hint="eastAsia" w:ascii="仿宋_GB2312" w:hAnsi="仿宋_GB2312" w:eastAsia="仿宋_GB2312" w:cs="仿宋_GB2312"/>
          <w:b/>
          <w:sz w:val="30"/>
          <w:szCs w:val="30"/>
          <w:lang w:val="en-US" w:eastAsia="zh-CN"/>
        </w:rPr>
        <w:t>电梯等</w:t>
      </w:r>
      <w:r>
        <w:rPr>
          <w:rFonts w:hint="eastAsia" w:ascii="仿宋_GB2312" w:hAnsi="仿宋_GB2312" w:eastAsia="仿宋_GB2312" w:cs="仿宋_GB2312"/>
          <w:b/>
          <w:sz w:val="30"/>
          <w:szCs w:val="30"/>
          <w:lang w:eastAsia="zh-CN"/>
        </w:rPr>
        <w:t>）</w:t>
      </w:r>
    </w:p>
    <w:p w14:paraId="222C4273">
      <w:pPr>
        <w:pStyle w:val="5"/>
        <w:jc w:val="center"/>
        <w:rPr>
          <w:rFonts w:hint="default" w:ascii="仿宋_GB2312" w:hAnsi="仿宋_GB2312" w:eastAsia="仿宋_GB2312" w:cs="仿宋_GB2312"/>
          <w:b/>
          <w:sz w:val="30"/>
          <w:szCs w:val="30"/>
          <w:lang w:val="en-US" w:eastAsia="zh-CN"/>
        </w:rPr>
      </w:pPr>
      <w:r>
        <w:rPr>
          <w:rFonts w:hint="eastAsia" w:ascii="仿宋_GB2312" w:hAnsi="仿宋_GB2312" w:eastAsia="仿宋_GB2312" w:cs="仿宋_GB2312"/>
          <w:b/>
          <w:sz w:val="30"/>
          <w:szCs w:val="30"/>
          <w:lang w:val="en-US" w:eastAsia="zh-CN"/>
        </w:rPr>
        <w:t>采购包1：电梯</w:t>
      </w:r>
    </w:p>
    <w:p w14:paraId="35779BB4">
      <w:pPr>
        <w:widowControl w:val="0"/>
        <w:ind w:left="0" w:leftChars="0" w:firstLine="0" w:firstLineChars="0"/>
        <w:jc w:val="both"/>
        <w:rPr>
          <w:rFonts w:hint="eastAsia" w:ascii="仿宋" w:hAnsi="仿宋" w:eastAsia="仿宋" w:cs="仿宋"/>
          <w:color w:val="auto"/>
          <w:sz w:val="28"/>
          <w:szCs w:val="28"/>
          <w:lang w:val="en-US" w:eastAsia="zh-CN" w:bidi="ar-SA"/>
        </w:rPr>
      </w:pPr>
    </w:p>
    <w:p w14:paraId="4E8DE25A">
      <w:pPr>
        <w:pStyle w:val="2"/>
        <w:rPr>
          <w:rFonts w:hint="eastAsia"/>
          <w:lang w:val="en-US" w:eastAsia="zh-CN"/>
        </w:rPr>
      </w:pPr>
    </w:p>
    <w:p w14:paraId="76565FD6">
      <w:pPr>
        <w:pStyle w:val="7"/>
        <w:rPr>
          <w:rFonts w:hint="eastAsia" w:ascii="仿宋" w:hAnsi="仿宋" w:eastAsia="仿宋" w:cs="仿宋"/>
          <w:lang w:val="en-US" w:eastAsia="zh-CN"/>
        </w:rPr>
      </w:pPr>
    </w:p>
    <w:p w14:paraId="44B54605">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0642F144">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中标单位(乙方) :                              </w:t>
      </w:r>
    </w:p>
    <w:p w14:paraId="2805AC55">
      <w:pPr>
        <w:pStyle w:val="7"/>
        <w:ind w:left="0" w:leftChars="0" w:firstLine="0" w:firstLineChars="0"/>
        <w:rPr>
          <w:rFonts w:hint="eastAsia" w:ascii="仿宋" w:hAnsi="仿宋" w:eastAsia="仿宋" w:cs="仿宋"/>
        </w:rPr>
      </w:pPr>
    </w:p>
    <w:p w14:paraId="0ADD2478">
      <w:pPr>
        <w:pStyle w:val="8"/>
        <w:ind w:left="294" w:leftChars="0" w:hanging="294" w:hangingChars="105"/>
        <w:rPr>
          <w:rFonts w:hint="eastAsia"/>
        </w:rPr>
      </w:pPr>
    </w:p>
    <w:p w14:paraId="373205AB">
      <w:pPr>
        <w:pStyle w:val="8"/>
        <w:ind w:left="294" w:leftChars="0" w:hanging="294" w:hangingChars="105"/>
        <w:rPr>
          <w:rFonts w:hint="eastAsia"/>
        </w:rPr>
      </w:pPr>
    </w:p>
    <w:p w14:paraId="4EE161EC">
      <w:pPr>
        <w:pStyle w:val="8"/>
        <w:ind w:left="294" w:leftChars="0" w:hanging="294" w:hangingChars="105"/>
        <w:rPr>
          <w:rFonts w:hint="eastAsia"/>
        </w:rPr>
      </w:pPr>
    </w:p>
    <w:p w14:paraId="66A227F5">
      <w:pPr>
        <w:pStyle w:val="8"/>
        <w:ind w:left="294" w:leftChars="0" w:hanging="294" w:hangingChars="105"/>
        <w:rPr>
          <w:rFonts w:hint="eastAsia"/>
        </w:rPr>
      </w:pPr>
    </w:p>
    <w:p w14:paraId="315BFE3B">
      <w:pPr>
        <w:bidi w:val="0"/>
        <w:rPr>
          <w:rFonts w:hint="eastAsia" w:ascii="仿宋" w:hAnsi="仿宋" w:eastAsia="仿宋" w:cs="仿宋"/>
          <w:color w:val="000000"/>
          <w:sz w:val="24"/>
        </w:rPr>
      </w:pPr>
    </w:p>
    <w:p w14:paraId="1631FDB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签订地点：</w:t>
      </w:r>
      <w:r>
        <w:rPr>
          <w:rFonts w:hint="eastAsia" w:ascii="仿宋" w:hAnsi="仿宋" w:eastAsia="仿宋" w:cs="仿宋"/>
          <w:color w:val="000000"/>
          <w:sz w:val="24"/>
          <w:u w:val="single"/>
        </w:rPr>
        <w:t xml:space="preserve">                                             </w:t>
      </w:r>
    </w:p>
    <w:p w14:paraId="4DBBE551">
      <w:pPr>
        <w:numPr>
          <w:ilvl w:val="0"/>
          <w:numId w:val="0"/>
        </w:numPr>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签订时间：</w:t>
      </w:r>
      <w:r>
        <w:rPr>
          <w:rFonts w:hint="eastAsia" w:ascii="仿宋" w:hAnsi="仿宋" w:eastAsia="仿宋" w:cs="仿宋"/>
          <w:color w:val="000000"/>
          <w:sz w:val="24"/>
          <w:u w:val="single"/>
        </w:rPr>
        <w:t xml:space="preserve">                                             </w:t>
      </w:r>
    </w:p>
    <w:p w14:paraId="0BCDFF18">
      <w:r>
        <w:br w:type="page"/>
      </w:r>
    </w:p>
    <w:p w14:paraId="154F9C5C">
      <w:pPr>
        <w:spacing w:line="360" w:lineRule="auto"/>
        <w:jc w:val="center"/>
        <w:rPr>
          <w:rFonts w:hint="eastAsia" w:ascii="仿宋_GB2312" w:eastAsia="仿宋_GB2312"/>
          <w:b/>
          <w:bCs w:val="0"/>
          <w:color w:val="auto"/>
          <w:kern w:val="44"/>
          <w:sz w:val="28"/>
          <w:szCs w:val="18"/>
          <w:highlight w:val="none"/>
        </w:rPr>
      </w:pPr>
      <w:r>
        <w:t xml:space="preserve"> </w:t>
      </w:r>
      <w:r>
        <w:rPr>
          <w:rFonts w:hint="eastAsia" w:ascii="宋体" w:hAnsi="宋体" w:eastAsia="宋体" w:cs="宋体"/>
          <w:b/>
          <w:bCs w:val="0"/>
          <w:color w:val="auto"/>
          <w:sz w:val="32"/>
          <w:szCs w:val="32"/>
          <w:highlight w:val="none"/>
          <w:lang w:val="en-US" w:eastAsia="zh-CN"/>
        </w:rPr>
        <w:t>采购合同</w:t>
      </w:r>
    </w:p>
    <w:p w14:paraId="6699CA64">
      <w:pPr>
        <w:tabs>
          <w:tab w:val="left" w:pos="735"/>
        </w:tabs>
        <w:autoSpaceDE w:val="0"/>
        <w:autoSpaceDN w:val="0"/>
        <w:adjustRightInd w:val="0"/>
        <w:snapToGrid w:val="0"/>
        <w:spacing w:line="360" w:lineRule="auto"/>
        <w:ind w:firstLine="631"/>
        <w:rPr>
          <w:rFonts w:hint="eastAsia" w:ascii="宋体" w:hAnsi="宋体" w:cs="宋体"/>
          <w:b/>
          <w:bCs/>
          <w:sz w:val="24"/>
          <w:szCs w:val="24"/>
          <w:lang w:val="zh-CN"/>
        </w:rPr>
      </w:pPr>
      <w:r>
        <w:rPr>
          <w:rFonts w:hint="eastAsia" w:ascii="宋体" w:hAnsi="宋体" w:cs="宋体"/>
          <w:b/>
          <w:bCs/>
          <w:sz w:val="24"/>
          <w:szCs w:val="24"/>
          <w:lang w:val="zh-CN"/>
        </w:rPr>
        <w:t>甲方：</w:t>
      </w:r>
      <w:r>
        <w:rPr>
          <w:rFonts w:hint="eastAsia" w:ascii="宋体" w:hAnsi="宋体" w:cs="宋体"/>
          <w:bCs/>
          <w:sz w:val="24"/>
          <w:szCs w:val="24"/>
          <w:lang w:val="zh-CN"/>
        </w:rPr>
        <w:t>（前款所称采购人）</w:t>
      </w:r>
    </w:p>
    <w:p w14:paraId="13C391E5">
      <w:pPr>
        <w:tabs>
          <w:tab w:val="left" w:pos="735"/>
        </w:tabs>
        <w:autoSpaceDE w:val="0"/>
        <w:autoSpaceDN w:val="0"/>
        <w:adjustRightInd w:val="0"/>
        <w:snapToGrid w:val="0"/>
        <w:spacing w:line="360" w:lineRule="auto"/>
        <w:ind w:firstLine="631"/>
        <w:rPr>
          <w:rFonts w:hint="eastAsia" w:ascii="宋体" w:hAnsi="宋体" w:cs="宋体"/>
          <w:bCs/>
          <w:sz w:val="24"/>
          <w:szCs w:val="24"/>
          <w:lang w:val="zh-CN"/>
        </w:rPr>
      </w:pPr>
      <w:r>
        <w:rPr>
          <w:rFonts w:hint="eastAsia" w:ascii="宋体" w:hAnsi="宋体" w:cs="宋体"/>
          <w:b/>
          <w:bCs/>
          <w:sz w:val="24"/>
          <w:szCs w:val="24"/>
          <w:lang w:val="zh-CN"/>
        </w:rPr>
        <w:t>乙方：</w:t>
      </w:r>
      <w:r>
        <w:rPr>
          <w:rFonts w:hint="eastAsia" w:ascii="宋体" w:hAnsi="宋体" w:cs="宋体"/>
          <w:bCs/>
          <w:sz w:val="24"/>
          <w:szCs w:val="24"/>
          <w:lang w:val="zh-CN"/>
        </w:rPr>
        <w:t>（前款所称中标单位）</w:t>
      </w:r>
    </w:p>
    <w:p w14:paraId="6C6CA11B">
      <w:pPr>
        <w:bidi w:val="0"/>
        <w:spacing w:line="360" w:lineRule="auto"/>
        <w:outlineLvl w:val="9"/>
        <w:rPr>
          <w:rFonts w:hint="default" w:ascii="宋体" w:hAnsi="宋体" w:eastAsia="宋体" w:cs="宋体"/>
          <w:sz w:val="24"/>
          <w:szCs w:val="24"/>
          <w:lang w:val="en-US" w:eastAsia="zh-CN"/>
        </w:rPr>
      </w:pPr>
      <w:bookmarkStart w:id="0" w:name="_Toc1896"/>
      <w:bookmarkStart w:id="1" w:name="_Toc31593"/>
      <w:r>
        <w:rPr>
          <w:rFonts w:hint="eastAsia" w:ascii="宋体" w:hAnsi="宋体" w:eastAsia="宋体" w:cs="宋体"/>
          <w:b/>
          <w:bCs/>
          <w:sz w:val="24"/>
          <w:szCs w:val="24"/>
          <w:lang w:val="zh-CN"/>
        </w:rPr>
        <w:t>一、合同内容</w:t>
      </w:r>
      <w:r>
        <w:rPr>
          <w:rFonts w:hint="eastAsia" w:ascii="宋体" w:hAnsi="宋体" w:eastAsia="宋体" w:cs="宋体"/>
          <w:sz w:val="24"/>
          <w:szCs w:val="24"/>
          <w:lang w:val="zh-CN"/>
        </w:rPr>
        <w:t>:</w:t>
      </w:r>
      <w:bookmarkEnd w:id="0"/>
      <w:bookmarkEnd w:id="1"/>
      <w:r>
        <w:rPr>
          <w:rFonts w:hint="eastAsia" w:ascii="宋体" w:hAnsi="宋体" w:eastAsia="宋体" w:cs="宋体"/>
          <w:sz w:val="24"/>
          <w:szCs w:val="24"/>
          <w:u w:val="single"/>
          <w:lang w:val="en-US" w:eastAsia="zh-CN"/>
        </w:rPr>
        <w:t xml:space="preserve">                    </w:t>
      </w:r>
    </w:p>
    <w:p w14:paraId="65483600">
      <w:pPr>
        <w:bidi w:val="0"/>
        <w:spacing w:line="360" w:lineRule="auto"/>
        <w:outlineLvl w:val="9"/>
        <w:rPr>
          <w:rFonts w:hint="default" w:ascii="宋体" w:hAnsi="宋体" w:eastAsia="宋体" w:cs="宋体"/>
          <w:sz w:val="24"/>
          <w:szCs w:val="24"/>
          <w:lang w:val="en-US" w:eastAsia="zh-CN"/>
        </w:rPr>
      </w:pPr>
      <w:bookmarkStart w:id="2" w:name="_Toc13753"/>
      <w:bookmarkStart w:id="3" w:name="_Toc16955"/>
      <w:r>
        <w:rPr>
          <w:rFonts w:hint="eastAsia" w:ascii="宋体" w:hAnsi="宋体" w:eastAsia="宋体" w:cs="宋体"/>
          <w:b/>
          <w:bCs/>
          <w:sz w:val="24"/>
          <w:szCs w:val="24"/>
          <w:lang w:val="zh-CN"/>
        </w:rPr>
        <w:t>二、合同价款</w:t>
      </w:r>
      <w:r>
        <w:rPr>
          <w:rFonts w:hint="eastAsia" w:ascii="宋体" w:hAnsi="宋体" w:eastAsia="宋体" w:cs="宋体"/>
          <w:sz w:val="24"/>
          <w:szCs w:val="24"/>
          <w:lang w:val="zh-CN"/>
        </w:rPr>
        <w:t>：</w:t>
      </w:r>
      <w:bookmarkEnd w:id="2"/>
      <w:bookmarkEnd w:id="3"/>
      <w:r>
        <w:rPr>
          <w:rFonts w:hint="eastAsia" w:ascii="宋体" w:hAnsi="宋体" w:eastAsia="宋体" w:cs="宋体"/>
          <w:sz w:val="24"/>
          <w:szCs w:val="24"/>
          <w:u w:val="single"/>
          <w:lang w:val="en-US" w:eastAsia="zh-CN"/>
        </w:rPr>
        <w:t xml:space="preserve">                   </w:t>
      </w:r>
    </w:p>
    <w:p w14:paraId="32481FB4">
      <w:pPr>
        <w:bidi w:val="0"/>
        <w:spacing w:line="360" w:lineRule="auto"/>
        <w:ind w:firstLine="480" w:firstLineChars="200"/>
        <w:outlineLvl w:val="9"/>
        <w:rPr>
          <w:rFonts w:hint="default" w:ascii="宋体" w:hAnsi="宋体" w:eastAsia="宋体" w:cs="宋体"/>
          <w:sz w:val="24"/>
          <w:szCs w:val="24"/>
          <w:lang w:val="en-US" w:eastAsia="zh-CN"/>
        </w:rPr>
      </w:pPr>
      <w:r>
        <w:rPr>
          <w:rFonts w:hint="eastAsia" w:ascii="宋体" w:hAnsi="宋体" w:cs="宋体"/>
          <w:sz w:val="24"/>
          <w:szCs w:val="24"/>
        </w:rPr>
        <w:t>1、合同总价：</w:t>
      </w:r>
      <w:r>
        <w:rPr>
          <w:rFonts w:hint="eastAsia" w:ascii="宋体" w:hAnsi="宋体" w:cs="宋体"/>
          <w:sz w:val="24"/>
          <w:szCs w:val="24"/>
          <w:u w:val="single"/>
          <w:lang w:val="en-US" w:eastAsia="zh-CN"/>
        </w:rPr>
        <w:t xml:space="preserve">               </w:t>
      </w:r>
    </w:p>
    <w:p w14:paraId="345B6D6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2、合同总价：包括新设备制造费、保管费、运杂费、装卸费、保险费、管理费、安装调试费、培训费、税金及其它相关的一切费用。</w:t>
      </w:r>
    </w:p>
    <w:p w14:paraId="3E381FA7">
      <w:pPr>
        <w:tabs>
          <w:tab w:val="left" w:pos="735"/>
        </w:tabs>
        <w:adjustRightInd w:val="0"/>
        <w:snapToGrid w:val="0"/>
        <w:spacing w:line="360" w:lineRule="auto"/>
        <w:ind w:firstLine="504" w:firstLineChars="210"/>
        <w:rPr>
          <w:rFonts w:hint="eastAsia" w:ascii="宋体" w:hAnsi="宋体" w:cs="宋体"/>
          <w:sz w:val="24"/>
          <w:szCs w:val="24"/>
        </w:rPr>
      </w:pPr>
      <w:r>
        <w:rPr>
          <w:rFonts w:hint="eastAsia" w:ascii="宋体" w:hAnsi="宋体" w:cs="宋体"/>
          <w:sz w:val="24"/>
          <w:szCs w:val="24"/>
        </w:rPr>
        <w:t>3、合同总价一次包死，不受市场价变化的影响。</w:t>
      </w:r>
    </w:p>
    <w:p w14:paraId="745FE0A4">
      <w:pPr>
        <w:pStyle w:val="3"/>
        <w:bidi w:val="0"/>
        <w:spacing w:line="240" w:lineRule="auto"/>
        <w:jc w:val="both"/>
        <w:rPr>
          <w:rFonts w:hint="eastAsia" w:ascii="宋体" w:hAnsi="宋体" w:eastAsia="宋体" w:cs="宋体"/>
          <w:sz w:val="24"/>
          <w:szCs w:val="24"/>
          <w:lang w:val="zh-CN"/>
        </w:rPr>
      </w:pPr>
      <w:bookmarkStart w:id="4" w:name="_Toc27355"/>
      <w:bookmarkStart w:id="5" w:name="_Toc18956"/>
      <w:bookmarkStart w:id="6" w:name="_Toc13431"/>
      <w:r>
        <w:rPr>
          <w:rFonts w:hint="eastAsia" w:ascii="宋体" w:hAnsi="宋体" w:eastAsia="宋体" w:cs="宋体"/>
          <w:sz w:val="24"/>
          <w:szCs w:val="24"/>
          <w:lang w:val="zh-CN"/>
        </w:rPr>
        <w:t>三、合同结算：</w:t>
      </w:r>
      <w:bookmarkEnd w:id="4"/>
      <w:bookmarkEnd w:id="5"/>
      <w:bookmarkEnd w:id="6"/>
    </w:p>
    <w:p w14:paraId="74173177">
      <w:pPr>
        <w:autoSpaceDE w:val="0"/>
        <w:autoSpaceDN w:val="0"/>
        <w:adjustRightInd w:val="0"/>
        <w:snapToGrid w:val="0"/>
        <w:spacing w:line="360" w:lineRule="auto"/>
        <w:ind w:firstLine="646"/>
        <w:rPr>
          <w:rFonts w:hint="eastAsia" w:ascii="宋体" w:hAnsi="宋体" w:cs="宋体"/>
          <w:color w:val="000000"/>
          <w:sz w:val="24"/>
          <w:szCs w:val="24"/>
          <w:highlight w:val="none"/>
        </w:rPr>
      </w:pPr>
      <w:r>
        <w:rPr>
          <w:rFonts w:hint="eastAsia" w:ascii="宋体" w:hAnsi="宋体" w:cs="宋体"/>
          <w:color w:val="000000"/>
          <w:sz w:val="24"/>
          <w:szCs w:val="24"/>
          <w:highlight w:val="none"/>
        </w:rPr>
        <w:t>1、付款比例：</w:t>
      </w:r>
    </w:p>
    <w:p w14:paraId="1BC38196">
      <w:pPr>
        <w:autoSpaceDE w:val="0"/>
        <w:autoSpaceDN w:val="0"/>
        <w:adjustRightInd w:val="0"/>
        <w:snapToGrid w:val="0"/>
        <w:spacing w:line="360" w:lineRule="auto"/>
        <w:ind w:firstLine="645"/>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合同签订后采购人7日内支付合同价款40%的预付款，到货后5日内付至合同价款50%，在所有货物安装到位经采购单位组织验收合格之日起10日内支付剩余款项。</w:t>
      </w:r>
    </w:p>
    <w:p w14:paraId="71894762">
      <w:pPr>
        <w:autoSpaceDE w:val="0"/>
        <w:autoSpaceDN w:val="0"/>
        <w:adjustRightInd w:val="0"/>
        <w:snapToGrid w:val="0"/>
        <w:spacing w:line="360" w:lineRule="auto"/>
        <w:ind w:firstLine="645"/>
        <w:rPr>
          <w:rFonts w:hint="eastAsia" w:ascii="宋体" w:hAnsi="宋体" w:cs="宋体"/>
          <w:color w:val="000000"/>
          <w:sz w:val="24"/>
          <w:szCs w:val="24"/>
          <w:highlight w:val="none"/>
        </w:rPr>
      </w:pPr>
      <w:r>
        <w:rPr>
          <w:rFonts w:hint="eastAsia" w:ascii="宋体" w:hAnsi="宋体" w:cs="宋体"/>
          <w:color w:val="000000"/>
          <w:sz w:val="24"/>
          <w:szCs w:val="24"/>
          <w:highlight w:val="none"/>
        </w:rPr>
        <w:t>2、结算方式：由采购双方签订合同时具体约定。</w:t>
      </w:r>
    </w:p>
    <w:p w14:paraId="23AD0217">
      <w:pPr>
        <w:autoSpaceDE w:val="0"/>
        <w:autoSpaceDN w:val="0"/>
        <w:adjustRightInd w:val="0"/>
        <w:snapToGrid w:val="0"/>
        <w:spacing w:line="240" w:lineRule="auto"/>
        <w:ind w:firstLine="645"/>
        <w:rPr>
          <w:rFonts w:hint="eastAsia" w:ascii="宋体" w:hAnsi="宋体" w:cs="宋体"/>
          <w:color w:val="FF0000"/>
          <w:sz w:val="24"/>
          <w:szCs w:val="24"/>
          <w:highlight w:val="none"/>
        </w:rPr>
      </w:pPr>
      <w:r>
        <w:rPr>
          <w:rFonts w:hint="eastAsia" w:ascii="宋体" w:hAnsi="宋体" w:cs="宋体"/>
          <w:color w:val="000000"/>
          <w:sz w:val="24"/>
          <w:szCs w:val="24"/>
          <w:highlight w:val="none"/>
        </w:rPr>
        <w:t>3、结算单位：由</w:t>
      </w:r>
      <w:r>
        <w:rPr>
          <w:rFonts w:hint="eastAsia" w:ascii="宋体" w:hAnsi="宋体" w:cs="宋体"/>
          <w:color w:val="000000"/>
          <w:sz w:val="24"/>
          <w:szCs w:val="24"/>
          <w:highlight w:val="none"/>
          <w:u w:val="single"/>
        </w:rPr>
        <w:t>甲方</w:t>
      </w:r>
      <w:r>
        <w:rPr>
          <w:rFonts w:hint="eastAsia" w:ascii="宋体" w:hAnsi="宋体" w:cs="宋体"/>
          <w:color w:val="000000"/>
          <w:sz w:val="24"/>
          <w:szCs w:val="24"/>
          <w:highlight w:val="none"/>
        </w:rPr>
        <w:t>负责结算，乙方开具</w:t>
      </w:r>
      <w:r>
        <w:rPr>
          <w:rFonts w:hint="eastAsia" w:ascii="宋体" w:hAnsi="宋体" w:cs="宋体"/>
          <w:color w:val="000000"/>
          <w:sz w:val="24"/>
          <w:szCs w:val="24"/>
          <w:highlight w:val="none"/>
          <w:lang w:val="en-US" w:eastAsia="zh-CN"/>
        </w:rPr>
        <w:t>付款金额的</w:t>
      </w:r>
      <w:r>
        <w:rPr>
          <w:rFonts w:hint="eastAsia" w:ascii="宋体" w:hAnsi="宋体" w:cs="宋体"/>
          <w:color w:val="000000"/>
          <w:sz w:val="24"/>
          <w:szCs w:val="24"/>
          <w:highlight w:val="none"/>
        </w:rPr>
        <w:t>发票交采购人。</w:t>
      </w:r>
    </w:p>
    <w:p w14:paraId="12601055">
      <w:pPr>
        <w:pStyle w:val="3"/>
        <w:bidi w:val="0"/>
        <w:spacing w:line="240" w:lineRule="auto"/>
        <w:jc w:val="both"/>
        <w:rPr>
          <w:rFonts w:hint="eastAsia" w:ascii="宋体" w:hAnsi="宋体" w:eastAsia="宋体" w:cs="宋体"/>
          <w:sz w:val="24"/>
          <w:szCs w:val="24"/>
          <w:highlight w:val="none"/>
          <w:lang w:val="zh-CN"/>
        </w:rPr>
      </w:pPr>
      <w:bookmarkStart w:id="7" w:name="_Toc7536"/>
      <w:bookmarkStart w:id="8" w:name="_Toc3546"/>
      <w:bookmarkStart w:id="9" w:name="_Toc22900"/>
      <w:r>
        <w:rPr>
          <w:rFonts w:hint="eastAsia" w:ascii="宋体" w:hAnsi="宋体" w:eastAsia="宋体" w:cs="宋体"/>
          <w:sz w:val="24"/>
          <w:szCs w:val="24"/>
          <w:highlight w:val="none"/>
          <w:lang w:val="zh-CN"/>
        </w:rPr>
        <w:t>四、交货条件:</w:t>
      </w:r>
      <w:bookmarkEnd w:id="7"/>
      <w:bookmarkEnd w:id="8"/>
      <w:bookmarkEnd w:id="9"/>
    </w:p>
    <w:p w14:paraId="7B5BD3DA">
      <w:pPr>
        <w:tabs>
          <w:tab w:val="left" w:pos="735"/>
        </w:tabs>
        <w:autoSpaceDE w:val="0"/>
        <w:autoSpaceDN w:val="0"/>
        <w:adjustRightInd w:val="0"/>
        <w:snapToGrid w:val="0"/>
        <w:spacing w:line="360" w:lineRule="auto"/>
        <w:ind w:firstLine="631"/>
        <w:rPr>
          <w:rFonts w:hint="eastAsia" w:ascii="宋体" w:hAnsi="宋体" w:cs="宋体"/>
          <w:bCs/>
          <w:sz w:val="24"/>
          <w:szCs w:val="24"/>
          <w:highlight w:val="none"/>
          <w:lang w:val="zh-CN"/>
        </w:rPr>
      </w:pPr>
      <w:r>
        <w:rPr>
          <w:rFonts w:hint="eastAsia" w:ascii="宋体" w:hAnsi="宋体" w:cs="宋体"/>
          <w:bCs/>
          <w:sz w:val="24"/>
          <w:szCs w:val="24"/>
          <w:highlight w:val="none"/>
          <w:lang w:val="zh-CN"/>
        </w:rPr>
        <w:t>1、交货地点：甲方指定地点</w:t>
      </w:r>
    </w:p>
    <w:p w14:paraId="7A9CFC4D">
      <w:pPr>
        <w:autoSpaceDE w:val="0"/>
        <w:autoSpaceDN w:val="0"/>
        <w:adjustRightInd w:val="0"/>
        <w:snapToGrid w:val="0"/>
        <w:spacing w:line="240" w:lineRule="auto"/>
        <w:ind w:firstLine="645"/>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2、交货期</w:t>
      </w:r>
      <w:r>
        <w:rPr>
          <w:rFonts w:hint="eastAsia" w:ascii="宋体" w:hAnsi="宋体" w:cs="宋体"/>
          <w:color w:val="auto"/>
          <w:sz w:val="24"/>
          <w:szCs w:val="24"/>
          <w:highlight w:val="none"/>
          <w:lang w:val="en-US" w:eastAsia="zh-CN"/>
        </w:rPr>
        <w:t>及工期</w:t>
      </w:r>
      <w:r>
        <w:rPr>
          <w:rFonts w:hint="eastAsia" w:ascii="宋体" w:hAnsi="宋体" w:cs="宋体"/>
          <w:color w:val="auto"/>
          <w:sz w:val="24"/>
          <w:szCs w:val="24"/>
          <w:highlight w:val="none"/>
          <w:lang w:val="zh-CN"/>
        </w:rPr>
        <w:t>：</w:t>
      </w:r>
      <w:r>
        <w:rPr>
          <w:rFonts w:hint="eastAsia" w:ascii="宋体" w:hAnsi="宋体" w:cs="宋体"/>
          <w:color w:val="auto"/>
          <w:sz w:val="24"/>
          <w:szCs w:val="24"/>
          <w:highlight w:val="none"/>
          <w:lang w:val="zh-CN" w:eastAsia="zh-CN"/>
        </w:rPr>
        <w:t>自合同签订之日起30日历天</w:t>
      </w:r>
      <w:r>
        <w:rPr>
          <w:rFonts w:hint="eastAsia" w:ascii="宋体" w:hAnsi="宋体" w:cs="宋体"/>
          <w:color w:val="auto"/>
          <w:sz w:val="24"/>
          <w:szCs w:val="24"/>
          <w:highlight w:val="none"/>
          <w:lang w:val="en-US" w:eastAsia="zh-CN"/>
        </w:rPr>
        <w:t>。</w:t>
      </w:r>
    </w:p>
    <w:p w14:paraId="01DE1538">
      <w:pPr>
        <w:pStyle w:val="3"/>
        <w:bidi w:val="0"/>
        <w:spacing w:line="240" w:lineRule="auto"/>
        <w:jc w:val="both"/>
        <w:rPr>
          <w:rFonts w:hint="eastAsia" w:ascii="宋体" w:hAnsi="宋体" w:eastAsia="宋体" w:cs="宋体"/>
          <w:b w:val="0"/>
          <w:bCs/>
          <w:kern w:val="2"/>
          <w:sz w:val="24"/>
          <w:szCs w:val="24"/>
          <w:highlight w:val="none"/>
          <w:lang w:val="zh-CN" w:eastAsia="zh-CN" w:bidi="ar-SA"/>
        </w:rPr>
      </w:pPr>
      <w:bookmarkStart w:id="10" w:name="_Toc9437"/>
      <w:bookmarkStart w:id="11" w:name="_Toc1926"/>
      <w:bookmarkStart w:id="12" w:name="_Toc16710"/>
      <w:r>
        <w:rPr>
          <w:rFonts w:hint="eastAsia" w:ascii="宋体" w:hAnsi="宋体" w:eastAsia="宋体" w:cs="宋体"/>
          <w:sz w:val="24"/>
          <w:szCs w:val="24"/>
          <w:highlight w:val="none"/>
          <w:lang w:val="zh-CN"/>
        </w:rPr>
        <w:t>五、运输：</w:t>
      </w:r>
      <w:bookmarkEnd w:id="10"/>
      <w:bookmarkEnd w:id="11"/>
      <w:bookmarkEnd w:id="12"/>
    </w:p>
    <w:p w14:paraId="488BB1C6">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1、乙方负责所有货物的运输。确保货物安全、完整到达使用地点，运杂费用包含在总价内，包括货物从供货地点到使用地点的运输费、保险费、搬运费等。</w:t>
      </w:r>
    </w:p>
    <w:p w14:paraId="2F7BBFB2">
      <w:pPr>
        <w:adjustRightInd w:val="0"/>
        <w:snapToGrid w:val="0"/>
        <w:spacing w:line="360" w:lineRule="auto"/>
        <w:ind w:firstLine="645"/>
        <w:rPr>
          <w:rFonts w:hint="eastAsia" w:ascii="宋体" w:hAnsi="宋体" w:cs="宋体"/>
          <w:sz w:val="24"/>
          <w:szCs w:val="24"/>
        </w:rPr>
      </w:pPr>
      <w:r>
        <w:rPr>
          <w:rFonts w:hint="eastAsia" w:ascii="宋体" w:hAnsi="宋体" w:cs="宋体"/>
          <w:color w:val="000000"/>
          <w:sz w:val="24"/>
          <w:szCs w:val="24"/>
        </w:rPr>
        <w:t>2、所有货物在运输、搬运、安装、拆除、改造的过程中，造成甲方损失的，由乙方为甲方修复或更新。</w:t>
      </w:r>
    </w:p>
    <w:p w14:paraId="70AC2BB1">
      <w:pPr>
        <w:pStyle w:val="3"/>
        <w:bidi w:val="0"/>
        <w:spacing w:line="240" w:lineRule="auto"/>
        <w:jc w:val="both"/>
        <w:rPr>
          <w:rFonts w:hint="eastAsia" w:ascii="宋体" w:hAnsi="宋体" w:eastAsia="宋体" w:cs="宋体"/>
          <w:sz w:val="24"/>
          <w:szCs w:val="24"/>
          <w:lang w:val="zh-CN"/>
        </w:rPr>
      </w:pPr>
      <w:bookmarkStart w:id="13" w:name="_Toc31476"/>
      <w:bookmarkStart w:id="14" w:name="_Toc7164"/>
      <w:bookmarkStart w:id="15" w:name="_Toc25630"/>
      <w:r>
        <w:rPr>
          <w:rFonts w:hint="eastAsia" w:ascii="宋体" w:hAnsi="宋体" w:eastAsia="宋体" w:cs="宋体"/>
          <w:sz w:val="24"/>
          <w:szCs w:val="24"/>
          <w:lang w:val="zh-CN"/>
        </w:rPr>
        <w:t>六、质量保证：</w:t>
      </w:r>
      <w:bookmarkEnd w:id="13"/>
      <w:bookmarkEnd w:id="14"/>
      <w:bookmarkEnd w:id="15"/>
    </w:p>
    <w:p w14:paraId="1BD16129">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1、乙方提供货物必须是原品牌制造厂制造的最新工艺、生产的最新产品。</w:t>
      </w:r>
    </w:p>
    <w:p w14:paraId="74A4DE94">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2、所供货物必须是经过办理正常手续的全新产品。</w:t>
      </w:r>
    </w:p>
    <w:p w14:paraId="31521952">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3、所供货物是经过国家法定检验、注册、准许市场销售的合法产品。</w:t>
      </w:r>
    </w:p>
    <w:p w14:paraId="1A9776A8">
      <w:pPr>
        <w:adjustRightInd w:val="0"/>
        <w:snapToGrid w:val="0"/>
        <w:spacing w:line="360" w:lineRule="auto"/>
        <w:ind w:firstLine="645"/>
        <w:rPr>
          <w:rFonts w:hint="eastAsia" w:ascii="宋体" w:hAnsi="宋体" w:cs="宋体"/>
          <w:color w:val="000000"/>
          <w:sz w:val="24"/>
          <w:szCs w:val="24"/>
        </w:rPr>
      </w:pPr>
      <w:r>
        <w:rPr>
          <w:rFonts w:hint="eastAsia" w:ascii="宋体" w:hAnsi="宋体" w:cs="宋体"/>
          <w:color w:val="000000"/>
          <w:sz w:val="24"/>
          <w:szCs w:val="24"/>
        </w:rPr>
        <w:t>4、货物性能稳定、具有较好的使用效果，质量保证措施完善，符合国家相关标准。</w:t>
      </w:r>
    </w:p>
    <w:p w14:paraId="00CD2F5C">
      <w:pPr>
        <w:adjustRightInd w:val="0"/>
        <w:snapToGrid w:val="0"/>
        <w:spacing w:line="360" w:lineRule="auto"/>
        <w:ind w:firstLine="645"/>
        <w:rPr>
          <w:rFonts w:hint="eastAsia" w:ascii="宋体" w:hAnsi="宋体" w:cs="宋体"/>
          <w:sz w:val="24"/>
          <w:szCs w:val="24"/>
        </w:rPr>
      </w:pPr>
      <w:r>
        <w:rPr>
          <w:rFonts w:hint="eastAsia" w:ascii="宋体" w:hAnsi="宋体" w:cs="宋体"/>
          <w:sz w:val="24"/>
          <w:szCs w:val="24"/>
          <w:highlight w:val="none"/>
        </w:rPr>
        <w:t>5、</w:t>
      </w:r>
      <w:r>
        <w:rPr>
          <w:rFonts w:hint="eastAsia" w:cs="Times New Roman"/>
          <w:kern w:val="2"/>
          <w:sz w:val="24"/>
          <w:szCs w:val="24"/>
          <w:highlight w:val="none"/>
          <w:lang w:val="zh-CN" w:eastAsia="zh-CN" w:bidi="ar-SA"/>
        </w:rPr>
        <w:t>质保期为验收合格</w:t>
      </w:r>
      <w:r>
        <w:rPr>
          <w:rFonts w:hint="eastAsia" w:ascii="宋体" w:hAnsi="宋体" w:eastAsia="宋体" w:cs="宋体"/>
          <w:kern w:val="2"/>
          <w:sz w:val="24"/>
          <w:szCs w:val="24"/>
          <w:highlight w:val="none"/>
          <w:lang w:val="zh-CN" w:eastAsia="zh-CN" w:bidi="ar-SA"/>
        </w:rPr>
        <w:t>后</w:t>
      </w:r>
      <w:r>
        <w:rPr>
          <w:rFonts w:hint="eastAsia" w:ascii="宋体" w:hAnsi="宋体" w:eastAsia="宋体" w:cs="宋体"/>
          <w:kern w:val="2"/>
          <w:sz w:val="24"/>
          <w:szCs w:val="24"/>
          <w:highlight w:val="none"/>
          <w:u w:val="single"/>
          <w:lang w:val="en-US" w:eastAsia="zh-CN" w:bidi="ar-SA"/>
        </w:rPr>
        <w:t xml:space="preserve"> 2 </w:t>
      </w:r>
      <w:r>
        <w:rPr>
          <w:rFonts w:hint="eastAsia" w:ascii="宋体" w:hAnsi="宋体" w:eastAsia="宋体" w:cs="宋体"/>
          <w:kern w:val="2"/>
          <w:sz w:val="24"/>
          <w:szCs w:val="24"/>
          <w:highlight w:val="none"/>
          <w:lang w:val="en-US" w:eastAsia="zh-CN" w:bidi="ar-SA"/>
        </w:rPr>
        <w:t>年</w:t>
      </w:r>
      <w:r>
        <w:rPr>
          <w:rFonts w:hint="eastAsia" w:ascii="宋体" w:hAnsi="宋体" w:cs="宋体"/>
          <w:sz w:val="24"/>
          <w:szCs w:val="24"/>
          <w:highlight w:val="none"/>
        </w:rPr>
        <w:t>，质</w:t>
      </w:r>
      <w:r>
        <w:rPr>
          <w:rFonts w:hint="eastAsia" w:ascii="宋体" w:hAnsi="宋体" w:cs="宋体"/>
          <w:sz w:val="24"/>
          <w:szCs w:val="24"/>
        </w:rPr>
        <w:t>保期内维保标准不得低于国家标准及相关规定。</w:t>
      </w:r>
    </w:p>
    <w:p w14:paraId="79EBC41C">
      <w:pPr>
        <w:adjustRightInd w:val="0"/>
        <w:snapToGrid w:val="0"/>
        <w:spacing w:line="360" w:lineRule="auto"/>
        <w:ind w:firstLine="645"/>
        <w:rPr>
          <w:rFonts w:hint="eastAsia" w:ascii="宋体" w:hAnsi="宋体" w:cs="宋体"/>
          <w:sz w:val="24"/>
          <w:szCs w:val="24"/>
        </w:rPr>
      </w:pPr>
      <w:r>
        <w:rPr>
          <w:rFonts w:hint="eastAsia" w:ascii="宋体" w:hAnsi="宋体" w:cs="宋体"/>
          <w:sz w:val="24"/>
          <w:szCs w:val="24"/>
        </w:rPr>
        <w:t>6、包装要求</w:t>
      </w:r>
    </w:p>
    <w:p w14:paraId="78D598C5">
      <w:pPr>
        <w:adjustRightInd w:val="0"/>
        <w:snapToGrid w:val="0"/>
        <w:spacing w:line="360" w:lineRule="auto"/>
        <w:ind w:firstLine="645"/>
        <w:rPr>
          <w:rFonts w:hint="eastAsia" w:ascii="宋体" w:hAnsi="宋体" w:cs="宋体"/>
          <w:sz w:val="24"/>
          <w:szCs w:val="24"/>
        </w:rPr>
      </w:pPr>
      <w:r>
        <w:rPr>
          <w:rFonts w:hint="eastAsia" w:ascii="宋体" w:hAnsi="宋体" w:cs="宋体"/>
          <w:color w:val="000000"/>
          <w:sz w:val="24"/>
          <w:szCs w:val="24"/>
        </w:rPr>
        <w:t>6-1、除合同另有规定外，乙方提供的全部货物，均应按标准保护措施进行包装，并确保货物安全</w:t>
      </w:r>
      <w:r>
        <w:rPr>
          <w:rFonts w:hint="eastAsia" w:ascii="宋体" w:hAnsi="宋体" w:cs="宋体"/>
          <w:sz w:val="24"/>
          <w:szCs w:val="24"/>
        </w:rPr>
        <w:t>无损运抵甲方指定地点。</w:t>
      </w:r>
    </w:p>
    <w:p w14:paraId="51912A29">
      <w:pPr>
        <w:adjustRightInd w:val="0"/>
        <w:snapToGrid w:val="0"/>
        <w:spacing w:line="360" w:lineRule="auto"/>
        <w:ind w:firstLine="645"/>
        <w:rPr>
          <w:rFonts w:hint="eastAsia" w:ascii="宋体" w:hAnsi="宋体" w:cs="宋体"/>
          <w:sz w:val="24"/>
          <w:szCs w:val="24"/>
        </w:rPr>
      </w:pPr>
      <w:r>
        <w:rPr>
          <w:rFonts w:hint="eastAsia" w:ascii="宋体" w:hAnsi="宋体" w:cs="宋体"/>
          <w:sz w:val="24"/>
          <w:szCs w:val="24"/>
        </w:rPr>
        <w:t>6-2、每一个包装箱内应附一份详细装箱单和质量合格证。</w:t>
      </w:r>
    </w:p>
    <w:p w14:paraId="79A310AD">
      <w:pPr>
        <w:adjustRightInd w:val="0"/>
        <w:snapToGrid w:val="0"/>
        <w:spacing w:line="360" w:lineRule="auto"/>
        <w:ind w:firstLine="645"/>
        <w:rPr>
          <w:rFonts w:hint="eastAsia" w:ascii="宋体" w:hAnsi="宋体" w:cs="宋体"/>
          <w:sz w:val="24"/>
          <w:szCs w:val="24"/>
        </w:rPr>
      </w:pPr>
      <w:r>
        <w:rPr>
          <w:rFonts w:hint="eastAsia" w:ascii="宋体" w:hAnsi="宋体" w:cs="宋体"/>
          <w:sz w:val="24"/>
          <w:szCs w:val="24"/>
        </w:rPr>
        <w:t>7、知识产权：乙方应保证甲方在使用该货物或其任何一部分时免受第三方提出侵犯其专利权、商标权或工业设计权的起诉。</w:t>
      </w:r>
    </w:p>
    <w:p w14:paraId="51369925">
      <w:pPr>
        <w:pStyle w:val="3"/>
        <w:bidi w:val="0"/>
        <w:spacing w:line="240" w:lineRule="auto"/>
        <w:jc w:val="both"/>
        <w:rPr>
          <w:rFonts w:hint="eastAsia" w:ascii="宋体" w:hAnsi="宋体" w:eastAsia="宋体" w:cs="宋体"/>
          <w:sz w:val="24"/>
          <w:szCs w:val="24"/>
          <w:lang w:val="zh-CN"/>
        </w:rPr>
      </w:pPr>
      <w:bookmarkStart w:id="16" w:name="_Toc26330"/>
      <w:bookmarkStart w:id="17" w:name="_Toc20761"/>
      <w:bookmarkStart w:id="18" w:name="_Toc5769"/>
      <w:r>
        <w:rPr>
          <w:rFonts w:hint="eastAsia" w:ascii="宋体" w:hAnsi="宋体" w:eastAsia="宋体" w:cs="宋体"/>
          <w:sz w:val="24"/>
          <w:szCs w:val="24"/>
          <w:lang w:val="zh-CN"/>
        </w:rPr>
        <w:t>七、技术服务：</w:t>
      </w:r>
      <w:bookmarkEnd w:id="16"/>
      <w:bookmarkEnd w:id="17"/>
      <w:bookmarkEnd w:id="18"/>
    </w:p>
    <w:p w14:paraId="6EE4B4C6">
      <w:pPr>
        <w:snapToGrid w:val="0"/>
        <w:spacing w:line="360" w:lineRule="auto"/>
        <w:ind w:firstLine="482" w:firstLineChars="201"/>
        <w:rPr>
          <w:rFonts w:hint="eastAsia" w:ascii="宋体" w:hAnsi="宋体" w:cs="宋体"/>
          <w:sz w:val="24"/>
          <w:szCs w:val="24"/>
        </w:rPr>
      </w:pPr>
      <w:r>
        <w:rPr>
          <w:rFonts w:hint="eastAsia" w:ascii="宋体" w:hAnsi="宋体" w:cs="宋体"/>
          <w:sz w:val="24"/>
          <w:szCs w:val="24"/>
        </w:rPr>
        <w:t>1、对技术服务的要求：乙方应随同货物提供相应的中文技术文件(包括产品合格证、装箱、清单、操作手册、使用说明。检测报告、维护手册、服务指南等资料)，现场安装、调试、试运行技术保障服务。</w:t>
      </w:r>
    </w:p>
    <w:p w14:paraId="78F0047B">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2、技术资料：</w:t>
      </w:r>
    </w:p>
    <w:p w14:paraId="0D1B43B4">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2-1、产品合格证及检验报告；</w:t>
      </w:r>
    </w:p>
    <w:p w14:paraId="022D6B34">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2-2、产品使用说明书（中文）；</w:t>
      </w:r>
    </w:p>
    <w:p w14:paraId="4A0A551D">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2-3、其他技术资料。</w:t>
      </w:r>
    </w:p>
    <w:p w14:paraId="55F13728">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3、售后服务</w:t>
      </w:r>
    </w:p>
    <w:p w14:paraId="1521F712">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3-1、质保期内维保标准不得低于国家标准及相关规定。</w:t>
      </w:r>
    </w:p>
    <w:p w14:paraId="09D9EBC9">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3-2、如果乙方在收到通知后2天内没有弥补缺陷，甲方可采取必要的补救措施，但其风险和费用将由乙方承担，甲方根据合同规定对乙方行使的其它权力不受影响。甲方亦可从合同价款中扣回索赔金额。</w:t>
      </w:r>
    </w:p>
    <w:p w14:paraId="2BC83970">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4、伴随服务</w:t>
      </w:r>
    </w:p>
    <w:p w14:paraId="28DCB16F">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4-1、乙方应提供相应的中文的技术文件。</w:t>
      </w:r>
    </w:p>
    <w:p w14:paraId="45327962">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4-2、必须的其它技术资料。</w:t>
      </w:r>
    </w:p>
    <w:p w14:paraId="091C31A5">
      <w:pPr>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4-3、伴随服务的费用已含在合同价中，不单独进行支付。</w:t>
      </w:r>
    </w:p>
    <w:p w14:paraId="769101B9">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、售后服务</w:t>
      </w:r>
    </w:p>
    <w:p w14:paraId="4B859012">
      <w:pPr>
        <w:spacing w:line="360" w:lineRule="auto"/>
        <w:ind w:firstLine="357" w:firstLineChars="149"/>
        <w:rPr>
          <w:rFonts w:hint="eastAsia" w:ascii="宋体" w:hAnsi="宋体" w:eastAsia="宋体" w:cs="宋体"/>
          <w:sz w:val="24"/>
        </w:rPr>
      </w:pPr>
      <w:r>
        <w:rPr>
          <w:rFonts w:hint="eastAsia" w:ascii="宋体" w:hAnsi="宋体" w:eastAsia="宋体" w:cs="宋体"/>
          <w:sz w:val="24"/>
        </w:rPr>
        <w:t>（1）乙方须指派专人负责与采购人联系售后服务事宜；   </w:t>
      </w:r>
    </w:p>
    <w:p w14:paraId="7667E37A">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sz w:val="24"/>
        </w:rPr>
        <w:t>（2）货物（产品）的现场安装、调试和启动监督；</w:t>
      </w:r>
    </w:p>
    <w:p w14:paraId="75AE243B">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sz w:val="24"/>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w:t>
      </w:r>
    </w:p>
    <w:p w14:paraId="1C52EEB5">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4</w:t>
      </w:r>
      <w:r>
        <w:rPr>
          <w:rFonts w:hint="eastAsia" w:ascii="宋体" w:hAnsi="宋体" w:eastAsia="宋体" w:cs="宋体"/>
          <w:kern w:val="0"/>
          <w:sz w:val="24"/>
        </w:rPr>
        <w:t>）质保期内，成交供应商负责对其提供的货物整机进行维修和系统维护，不再收取任何费用，但不可抗力（如火灾、雷击等）造成的故障除外；</w:t>
      </w:r>
    </w:p>
    <w:p w14:paraId="6ACA5D02">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5</w:t>
      </w:r>
      <w:r>
        <w:rPr>
          <w:rFonts w:hint="eastAsia" w:ascii="宋体" w:hAnsi="宋体" w:eastAsia="宋体" w:cs="宋体"/>
          <w:kern w:val="0"/>
          <w:sz w:val="24"/>
        </w:rPr>
        <w:t>）货物故障报修的响应时间为：工作期间（星期一至星期五8：00-18：00）为</w:t>
      </w:r>
      <w:r>
        <w:rPr>
          <w:rFonts w:hint="eastAsia" w:ascii="宋体" w:hAnsi="宋体" w:eastAsia="宋体" w:cs="宋体"/>
          <w:kern w:val="0"/>
          <w:sz w:val="24"/>
          <w:u w:val="single"/>
        </w:rPr>
        <w:t xml:space="preserve"> 2</w:t>
      </w:r>
      <w:r>
        <w:rPr>
          <w:rFonts w:hint="eastAsia" w:ascii="宋体" w:hAnsi="宋体" w:eastAsia="宋体" w:cs="宋体"/>
          <w:kern w:val="0"/>
          <w:sz w:val="24"/>
        </w:rPr>
        <w:t>小时；非工作期间为</w:t>
      </w:r>
      <w:r>
        <w:rPr>
          <w:rFonts w:hint="eastAsia" w:ascii="宋体" w:hAnsi="宋体" w:eastAsia="宋体" w:cs="宋体"/>
          <w:kern w:val="0"/>
          <w:sz w:val="24"/>
          <w:u w:val="single"/>
        </w:rPr>
        <w:t xml:space="preserve"> 4 </w:t>
      </w:r>
      <w:r>
        <w:rPr>
          <w:rFonts w:hint="eastAsia" w:ascii="宋体" w:hAnsi="宋体" w:eastAsia="宋体" w:cs="宋体"/>
          <w:kern w:val="0"/>
          <w:sz w:val="24"/>
        </w:rPr>
        <w:t>小时；</w:t>
      </w:r>
    </w:p>
    <w:p w14:paraId="24D0D585">
      <w:pPr>
        <w:widowControl/>
        <w:spacing w:line="360" w:lineRule="auto"/>
        <w:ind w:firstLine="360" w:firstLineChars="150"/>
        <w:jc w:val="left"/>
        <w:rPr>
          <w:rFonts w:hint="eastAsia" w:ascii="宋体" w:hAnsi="宋体" w:eastAsia="宋体" w:cs="宋体"/>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6</w:t>
      </w:r>
      <w:r>
        <w:rPr>
          <w:rFonts w:hint="eastAsia" w:ascii="宋体" w:hAnsi="宋体" w:eastAsia="宋体" w:cs="宋体"/>
          <w:kern w:val="0"/>
          <w:sz w:val="24"/>
        </w:rPr>
        <w:t>）成交供应商在接到采购人通知后须</w:t>
      </w:r>
      <w:r>
        <w:rPr>
          <w:rFonts w:hint="eastAsia" w:ascii="宋体" w:hAnsi="宋体" w:eastAsia="宋体" w:cs="宋体"/>
          <w:sz w:val="24"/>
          <w:u w:val="single"/>
        </w:rPr>
        <w:t>24</w:t>
      </w:r>
      <w:r>
        <w:rPr>
          <w:rFonts w:hint="eastAsia" w:ascii="宋体" w:hAnsi="宋体" w:eastAsia="宋体" w:cs="宋体"/>
          <w:sz w:val="24"/>
        </w:rPr>
        <w:t>小时内完成维修或更换，并承担修理或更换的费用；</w:t>
      </w:r>
    </w:p>
    <w:p w14:paraId="020DAC9B">
      <w:pPr>
        <w:widowControl/>
        <w:spacing w:line="360" w:lineRule="auto"/>
        <w:ind w:firstLine="360" w:firstLineChars="150"/>
        <w:jc w:val="left"/>
        <w:rPr>
          <w:rFonts w:hint="eastAsia" w:ascii="宋体" w:hAnsi="宋体" w:eastAsia="宋体" w:cs="宋体"/>
          <w:kern w:val="0"/>
          <w:sz w:val="24"/>
        </w:rPr>
      </w:pPr>
      <w:r>
        <w:rPr>
          <w:rFonts w:hint="eastAsia" w:ascii="宋体" w:hAnsi="宋体" w:eastAsia="宋体" w:cs="宋体"/>
          <w:sz w:val="24"/>
        </w:rPr>
        <w:t>（</w:t>
      </w:r>
      <w:r>
        <w:rPr>
          <w:rFonts w:hint="eastAsia" w:ascii="宋体" w:hAnsi="宋体" w:eastAsia="宋体" w:cs="宋体"/>
          <w:sz w:val="24"/>
          <w:lang w:val="en-US" w:eastAsia="zh-CN"/>
        </w:rPr>
        <w:t>7</w:t>
      </w:r>
      <w:r>
        <w:rPr>
          <w:rFonts w:hint="eastAsia" w:ascii="宋体" w:hAnsi="宋体" w:eastAsia="宋体" w:cs="宋体"/>
          <w:sz w:val="24"/>
        </w:rPr>
        <w:t>）</w:t>
      </w:r>
      <w:r>
        <w:rPr>
          <w:rFonts w:hint="eastAsia" w:ascii="宋体" w:hAnsi="宋体" w:eastAsia="宋体" w:cs="宋体"/>
          <w:kern w:val="0"/>
          <w:sz w:val="24"/>
        </w:rPr>
        <w:t>所有货物服务方式均为成交供应商上门服务，即由成交供应商派员到货物使用现场维修，由此产生的一切费用均由成交供应商承担；</w:t>
      </w:r>
    </w:p>
    <w:p w14:paraId="2831F52B">
      <w:pPr>
        <w:pStyle w:val="3"/>
        <w:bidi w:val="0"/>
        <w:spacing w:line="240" w:lineRule="auto"/>
        <w:jc w:val="both"/>
        <w:rPr>
          <w:rFonts w:hint="eastAsia" w:ascii="宋体" w:hAnsi="宋体" w:eastAsia="宋体" w:cs="宋体"/>
          <w:sz w:val="24"/>
          <w:szCs w:val="24"/>
          <w:lang w:val="zh-CN"/>
        </w:rPr>
      </w:pPr>
      <w:bookmarkStart w:id="19" w:name="_Toc13698"/>
      <w:bookmarkStart w:id="20" w:name="_Toc349"/>
      <w:bookmarkStart w:id="21" w:name="_Toc28234"/>
      <w:r>
        <w:rPr>
          <w:rFonts w:hint="eastAsia" w:ascii="宋体" w:hAnsi="宋体" w:eastAsia="宋体" w:cs="宋体"/>
          <w:sz w:val="24"/>
          <w:szCs w:val="24"/>
          <w:lang w:val="zh-CN"/>
        </w:rPr>
        <w:t>八、验收：</w:t>
      </w:r>
      <w:bookmarkEnd w:id="19"/>
      <w:bookmarkEnd w:id="20"/>
      <w:bookmarkEnd w:id="21"/>
    </w:p>
    <w:p w14:paraId="32EBDB41">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（一）验收依据</w:t>
      </w:r>
    </w:p>
    <w:p w14:paraId="45108A65">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1、招标文件、投标文件、澄清表（函）；</w:t>
      </w:r>
    </w:p>
    <w:p w14:paraId="04920194">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2、国家相应的标准、规范。</w:t>
      </w:r>
    </w:p>
    <w:p w14:paraId="4D2C8FF3">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3、中标供应商货物经过双方检验认可后，签署验收报告，产品保修期自验收合格之日起算，由中标人提供产品保修文件，当满足以下条件时，采购人才向中标人签发货物验收报告：</w:t>
      </w:r>
    </w:p>
    <w:p w14:paraId="57AC2950">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（1）中标供应商已按照合同规定提供了全部产品及完整的技术资料。</w:t>
      </w:r>
    </w:p>
    <w:p w14:paraId="0C065025">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（2）货物符合招标文件和投标文件技术规格要求，性能满足要求。</w:t>
      </w:r>
    </w:p>
    <w:p w14:paraId="2197E2E7">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（3）货物具备产品合格证。</w:t>
      </w:r>
    </w:p>
    <w:p w14:paraId="266A55A5">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（二）验收条件</w:t>
      </w:r>
    </w:p>
    <w:p w14:paraId="75DAAB95">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（1）验收分初次到货验收和采购人最终验收两个阶段，以最终验收为准。</w:t>
      </w:r>
    </w:p>
    <w:p w14:paraId="76D65441">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货物到货后，采购人、中标人双方共同开箱验收。在检查货物原产地、品牌、型号、规格、制造商、配置符合合同要求后，由中标人负责安装调试、采购人使用单位负责技术指标验收（中标人协助），验收以国内行业标准或合同文本货物供货配置清单中描述的有关技术要求为准。</w:t>
      </w:r>
    </w:p>
    <w:p w14:paraId="53B7CB50">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（三）采购人负责组织最终验收。</w:t>
      </w:r>
    </w:p>
    <w:p w14:paraId="1CF0E4F1">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通过检验的货物方可进行安装、调试、达到使用条件时由采购单位负责组织验收，</w:t>
      </w:r>
      <w:bookmarkStart w:id="22" w:name="_Toc23939"/>
      <w:bookmarkStart w:id="23" w:name="_Toc17276"/>
      <w:r>
        <w:rPr>
          <w:rFonts w:hint="eastAsia" w:ascii="宋体" w:hAnsi="宋体" w:eastAsia="宋体" w:cs="宋体"/>
          <w:sz w:val="24"/>
          <w:szCs w:val="24"/>
          <w:lang w:val="en-US" w:eastAsia="zh-CN"/>
        </w:rPr>
        <w:t>或者邀请有关专家共同进行验收,验收费用由中标单位支付；验收合格须交接项目实施的全部资料。</w:t>
      </w:r>
    </w:p>
    <w:p w14:paraId="4AC7551E">
      <w:pPr>
        <w:pStyle w:val="3"/>
        <w:bidi w:val="0"/>
        <w:spacing w:line="240" w:lineRule="auto"/>
        <w:jc w:val="both"/>
        <w:rPr>
          <w:rFonts w:hint="eastAsia" w:ascii="宋体" w:hAnsi="宋体" w:eastAsia="宋体" w:cs="宋体"/>
          <w:sz w:val="24"/>
          <w:szCs w:val="24"/>
          <w:lang w:val="zh-CN"/>
        </w:rPr>
      </w:pPr>
      <w:bookmarkStart w:id="24" w:name="_Toc474"/>
      <w:r>
        <w:rPr>
          <w:rFonts w:hint="eastAsia" w:ascii="宋体" w:hAnsi="宋体" w:eastAsia="宋体" w:cs="宋体"/>
          <w:sz w:val="24"/>
          <w:szCs w:val="24"/>
          <w:lang w:val="zh-CN"/>
        </w:rPr>
        <w:t>九、违约责任：</w:t>
      </w:r>
      <w:bookmarkEnd w:id="22"/>
      <w:bookmarkEnd w:id="23"/>
      <w:bookmarkEnd w:id="24"/>
    </w:p>
    <w:p w14:paraId="20A0F43A">
      <w:pPr>
        <w:adjustRightInd w:val="0"/>
        <w:snapToGrid w:val="0"/>
        <w:spacing w:line="360" w:lineRule="auto"/>
        <w:ind w:left="5" w:leftChars="0" w:firstLine="638" w:firstLineChars="266"/>
        <w:rPr>
          <w:rFonts w:hint="eastAsia" w:ascii="宋体" w:hAnsi="宋体" w:eastAsia="宋体" w:cs="宋体"/>
          <w:sz w:val="24"/>
          <w:szCs w:val="24"/>
        </w:rPr>
      </w:pPr>
      <w:r>
        <w:rPr>
          <w:rFonts w:hint="eastAsia" w:ascii="宋体" w:hAnsi="宋体" w:eastAsia="宋体" w:cs="宋体"/>
          <w:sz w:val="24"/>
          <w:szCs w:val="24"/>
        </w:rPr>
        <w:t>1、按《</w:t>
      </w:r>
      <w:r>
        <w:rPr>
          <w:rFonts w:hint="eastAsia" w:ascii="宋体" w:hAnsi="宋体" w:eastAsia="宋体" w:cs="宋体"/>
          <w:sz w:val="24"/>
          <w:szCs w:val="24"/>
          <w:lang w:val="en-US" w:eastAsia="zh-CN"/>
        </w:rPr>
        <w:t>中华人民共和国民法典</w:t>
      </w:r>
      <w:r>
        <w:rPr>
          <w:rFonts w:hint="eastAsia" w:ascii="宋体" w:hAnsi="宋体" w:eastAsia="宋体" w:cs="宋体"/>
          <w:sz w:val="24"/>
          <w:szCs w:val="24"/>
        </w:rPr>
        <w:t>》中的相关条款执行。</w:t>
      </w:r>
    </w:p>
    <w:p w14:paraId="29699101">
      <w:pPr>
        <w:adjustRightInd w:val="0"/>
        <w:snapToGrid w:val="0"/>
        <w:spacing w:line="360" w:lineRule="auto"/>
        <w:ind w:left="5" w:leftChars="0" w:firstLine="638" w:firstLineChars="266"/>
        <w:rPr>
          <w:rFonts w:hint="eastAsia" w:ascii="宋体" w:hAnsi="宋体" w:eastAsia="宋体" w:cs="宋体"/>
          <w:sz w:val="24"/>
          <w:szCs w:val="24"/>
        </w:rPr>
      </w:pPr>
      <w:r>
        <w:rPr>
          <w:rFonts w:hint="eastAsia" w:ascii="宋体" w:hAnsi="宋体" w:eastAsia="宋体" w:cs="宋体"/>
          <w:sz w:val="24"/>
          <w:szCs w:val="24"/>
        </w:rPr>
        <w:t>2、本合同履行期间，如乙方未能按照本合同约定完成相应目标成效要求，甲方有权要求乙方按照本合同总价款30%支付违约金，同时甲方有权视乙方违约情况决定是否单方解除本合同，并要求乙方赔偿甲方损失。</w:t>
      </w:r>
    </w:p>
    <w:p w14:paraId="56E2965F">
      <w:pPr>
        <w:adjustRightInd w:val="0"/>
        <w:snapToGrid w:val="0"/>
        <w:spacing w:line="360" w:lineRule="auto"/>
        <w:ind w:left="5" w:leftChars="0" w:firstLine="638" w:firstLineChars="266"/>
        <w:rPr>
          <w:rFonts w:hint="eastAsia" w:ascii="宋体" w:hAnsi="宋体" w:eastAsia="宋体" w:cs="宋体"/>
          <w:sz w:val="24"/>
          <w:szCs w:val="24"/>
        </w:rPr>
      </w:pPr>
      <w:r>
        <w:rPr>
          <w:rFonts w:hint="eastAsia" w:ascii="宋体" w:hAnsi="宋体" w:eastAsia="宋体" w:cs="宋体"/>
          <w:sz w:val="24"/>
          <w:szCs w:val="24"/>
        </w:rPr>
        <w:t>3、除本合同另有约定或因不可抗力情形之外，任何一方因违反本合同项下的任何义务或保证与承诺不实的，即构成违约，应向对方承担违约责任，赔偿因违反合同而给对方造成的全部实际产生的直接经济损失。</w:t>
      </w:r>
    </w:p>
    <w:p w14:paraId="3AA6E7A4">
      <w:pPr>
        <w:adjustRightInd w:val="0"/>
        <w:snapToGrid w:val="0"/>
        <w:spacing w:line="360" w:lineRule="auto"/>
        <w:ind w:left="5" w:leftChars="0" w:firstLine="638" w:firstLineChars="266"/>
        <w:rPr>
          <w:rFonts w:hint="eastAsia" w:ascii="宋体" w:hAnsi="宋体" w:eastAsia="宋体" w:cs="宋体"/>
          <w:sz w:val="24"/>
          <w:szCs w:val="24"/>
        </w:rPr>
      </w:pPr>
      <w:r>
        <w:rPr>
          <w:rFonts w:hint="eastAsia" w:ascii="宋体" w:hAnsi="宋体" w:eastAsia="宋体" w:cs="宋体"/>
          <w:sz w:val="24"/>
          <w:szCs w:val="24"/>
        </w:rPr>
        <w:t>4、违约终止合同：未按合同要求提供货物或质量不能满足技术要求，甲方会同监督机构有权终止合同，对乙方违约行为进行追究，同时按政府采购法的有关规定进行相应的处罚。</w:t>
      </w:r>
    </w:p>
    <w:p w14:paraId="0DEC56E3">
      <w:pPr>
        <w:pStyle w:val="3"/>
        <w:bidi w:val="0"/>
        <w:spacing w:line="240" w:lineRule="auto"/>
        <w:jc w:val="both"/>
        <w:rPr>
          <w:rFonts w:hint="eastAsia" w:ascii="宋体" w:hAnsi="宋体" w:eastAsia="宋体" w:cs="宋体"/>
          <w:sz w:val="24"/>
          <w:szCs w:val="24"/>
          <w:lang w:val="zh-CN"/>
        </w:rPr>
      </w:pPr>
      <w:bookmarkStart w:id="25" w:name="_Toc8686"/>
      <w:bookmarkStart w:id="26" w:name="_Toc4202"/>
      <w:bookmarkStart w:id="27" w:name="_Toc21667"/>
      <w:r>
        <w:rPr>
          <w:rFonts w:hint="eastAsia" w:ascii="宋体" w:hAnsi="宋体" w:eastAsia="宋体" w:cs="宋体"/>
          <w:sz w:val="24"/>
          <w:szCs w:val="24"/>
          <w:lang w:val="zh-CN"/>
        </w:rPr>
        <w:t>十、合同组成：</w:t>
      </w:r>
      <w:bookmarkEnd w:id="25"/>
      <w:bookmarkEnd w:id="26"/>
      <w:bookmarkEnd w:id="27"/>
    </w:p>
    <w:p w14:paraId="4DCE6D7C">
      <w:pPr>
        <w:adjustRightInd w:val="0"/>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中标</w:t>
      </w:r>
      <w:r>
        <w:rPr>
          <w:rFonts w:hint="eastAsia" w:ascii="宋体" w:hAnsi="宋体" w:eastAsia="宋体" w:cs="宋体"/>
          <w:sz w:val="24"/>
          <w:szCs w:val="24"/>
        </w:rPr>
        <w:t>通知书</w:t>
      </w:r>
    </w:p>
    <w:p w14:paraId="03C5E5D2">
      <w:pPr>
        <w:adjustRightInd w:val="0"/>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2、合同文件</w:t>
      </w:r>
    </w:p>
    <w:p w14:paraId="1E92FB1B">
      <w:pPr>
        <w:adjustRightInd w:val="0"/>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3、国家相关规范及标准</w:t>
      </w:r>
    </w:p>
    <w:p w14:paraId="2318D0A0">
      <w:pPr>
        <w:adjustRightInd w:val="0"/>
        <w:snapToGrid w:val="0"/>
        <w:spacing w:line="360" w:lineRule="auto"/>
        <w:ind w:firstLine="482" w:firstLineChars="201"/>
        <w:rPr>
          <w:rFonts w:hint="eastAsia" w:ascii="宋体" w:hAnsi="宋体" w:eastAsia="宋体" w:cs="宋体"/>
          <w:sz w:val="24"/>
          <w:szCs w:val="24"/>
        </w:rPr>
      </w:pPr>
      <w:r>
        <w:rPr>
          <w:rFonts w:hint="eastAsia" w:ascii="宋体" w:hAnsi="宋体" w:eastAsia="宋体" w:cs="宋体"/>
          <w:sz w:val="24"/>
          <w:szCs w:val="24"/>
        </w:rPr>
        <w:t>4、供货设备技术规格及参数表</w:t>
      </w:r>
    </w:p>
    <w:p w14:paraId="178C1414">
      <w:pPr>
        <w:pStyle w:val="3"/>
        <w:bidi w:val="0"/>
        <w:spacing w:line="240" w:lineRule="auto"/>
        <w:jc w:val="both"/>
        <w:rPr>
          <w:rFonts w:hint="eastAsia" w:ascii="宋体" w:hAnsi="宋体" w:eastAsia="宋体" w:cs="宋体"/>
          <w:sz w:val="24"/>
          <w:szCs w:val="24"/>
          <w:lang w:val="zh-CN"/>
        </w:rPr>
      </w:pPr>
      <w:bookmarkStart w:id="28" w:name="_Toc27099"/>
      <w:bookmarkStart w:id="29" w:name="_Toc30300"/>
      <w:bookmarkStart w:id="30" w:name="_Toc31698"/>
      <w:r>
        <w:rPr>
          <w:rFonts w:hint="eastAsia" w:ascii="宋体" w:hAnsi="宋体" w:eastAsia="宋体" w:cs="宋体"/>
          <w:sz w:val="24"/>
          <w:szCs w:val="24"/>
          <w:lang w:val="zh-CN"/>
        </w:rPr>
        <w:t>十一、合同生效及其它：</w:t>
      </w:r>
      <w:bookmarkEnd w:id="28"/>
      <w:bookmarkEnd w:id="29"/>
      <w:bookmarkEnd w:id="30"/>
    </w:p>
    <w:p w14:paraId="31058897">
      <w:pPr>
        <w:widowControl/>
        <w:autoSpaceDE w:val="0"/>
        <w:autoSpaceDN w:val="0"/>
        <w:snapToGrid w:val="0"/>
        <w:spacing w:line="360" w:lineRule="auto"/>
        <w:ind w:right="-110" w:firstLine="480" w:firstLineChars="200"/>
        <w:textAlignment w:val="bottom"/>
        <w:rPr>
          <w:rFonts w:hint="eastAsia" w:ascii="宋体" w:hAnsi="宋体" w:cs="宋体"/>
          <w:kern w:val="0"/>
          <w:sz w:val="24"/>
          <w:szCs w:val="24"/>
        </w:rPr>
      </w:pPr>
      <w:r>
        <w:rPr>
          <w:rFonts w:hint="eastAsia" w:ascii="宋体" w:hAnsi="宋体" w:cs="宋体"/>
          <w:kern w:val="0"/>
          <w:sz w:val="24"/>
          <w:szCs w:val="24"/>
        </w:rPr>
        <w:t>1、合同未尽事宜、由甲、乙双方协商，作为合同补充，与原合同具有同等法律效力。</w:t>
      </w:r>
    </w:p>
    <w:p w14:paraId="089BEB94">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lang w:val="zh-CN"/>
        </w:rPr>
      </w:pPr>
      <w:r>
        <w:rPr>
          <w:rFonts w:hint="eastAsia" w:ascii="宋体" w:hAnsi="宋体" w:cs="宋体"/>
          <w:kern w:val="0"/>
          <w:sz w:val="24"/>
          <w:szCs w:val="24"/>
        </w:rPr>
        <w:t>2、</w:t>
      </w:r>
      <w:r>
        <w:rPr>
          <w:rFonts w:hint="eastAsia" w:ascii="宋体" w:hAnsi="宋体" w:cs="宋体"/>
          <w:kern w:val="0"/>
          <w:sz w:val="24"/>
          <w:szCs w:val="24"/>
          <w:lang w:val="zh-CN"/>
        </w:rPr>
        <w:t>合同正本一式4份，采购人、成交供应商、</w:t>
      </w:r>
      <w:r>
        <w:rPr>
          <w:rFonts w:hint="eastAsia" w:ascii="宋体" w:hAnsi="宋体" w:cs="宋体"/>
          <w:kern w:val="0"/>
          <w:sz w:val="24"/>
          <w:szCs w:val="24"/>
          <w:lang w:val="en-US" w:eastAsia="zh-CN"/>
        </w:rPr>
        <w:t>政府采购中心</w:t>
      </w:r>
      <w:r>
        <w:rPr>
          <w:rFonts w:hint="eastAsia" w:ascii="宋体" w:hAnsi="宋体" w:cs="宋体"/>
          <w:kern w:val="0"/>
          <w:sz w:val="24"/>
          <w:szCs w:val="24"/>
          <w:lang w:val="zh-CN"/>
        </w:rPr>
        <w:t>各执一份，政府采购监督管理机关备案执一份。</w:t>
      </w:r>
    </w:p>
    <w:p w14:paraId="55F743EF">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3、合同经甲乙双方盖章、签字后生效，合同签订地点为</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192B61DC">
      <w:pPr>
        <w:spacing w:line="360" w:lineRule="auto"/>
        <w:ind w:firstLine="480" w:firstLineChars="200"/>
      </w:pPr>
      <w:r>
        <w:rPr>
          <w:rFonts w:hint="eastAsia" w:ascii="宋体" w:hAnsi="宋体" w:cs="宋体"/>
          <w:kern w:val="0"/>
          <w:sz w:val="24"/>
          <w:szCs w:val="24"/>
        </w:rPr>
        <w:t xml:space="preserve">4、生效时间：    年  月 </w:t>
      </w:r>
      <w:r>
        <w:rPr>
          <w:rFonts w:hint="eastAsia" w:ascii="宋体" w:hAnsi="宋体" w:cs="宋体"/>
          <w:kern w:val="0"/>
          <w:sz w:val="24"/>
          <w:szCs w:val="24"/>
          <w:lang w:val="en-US" w:eastAsia="zh-CN"/>
        </w:rPr>
        <w:t xml:space="preserve">  日</w:t>
      </w:r>
    </w:p>
    <w:p w14:paraId="1D652B36">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p>
    <w:p w14:paraId="3A89F5CA">
      <w:pPr>
        <w:pStyle w:val="2"/>
        <w:rPr>
          <w:rFonts w:hint="eastAsia"/>
        </w:rPr>
      </w:pPr>
    </w:p>
    <w:tbl>
      <w:tblPr>
        <w:tblStyle w:val="9"/>
        <w:tblpPr w:leftFromText="180" w:rightFromText="180" w:vertAnchor="text" w:horzAnchor="page" w:tblpX="1721" w:tblpY="467"/>
        <w:tblOverlap w:val="never"/>
        <w:tblW w:w="9286" w:type="dxa"/>
        <w:tblInd w:w="0" w:type="dxa"/>
        <w:tblLayout w:type="fixed"/>
        <w:tblCellMar>
          <w:top w:w="0" w:type="dxa"/>
          <w:left w:w="108" w:type="dxa"/>
          <w:bottom w:w="0" w:type="dxa"/>
          <w:right w:w="108" w:type="dxa"/>
        </w:tblCellMar>
      </w:tblPr>
      <w:tblGrid>
        <w:gridCol w:w="4643"/>
        <w:gridCol w:w="4643"/>
      </w:tblGrid>
      <w:tr w14:paraId="6061F754">
        <w:tblPrEx>
          <w:tblCellMar>
            <w:top w:w="0" w:type="dxa"/>
            <w:left w:w="108" w:type="dxa"/>
            <w:bottom w:w="0" w:type="dxa"/>
            <w:right w:w="108" w:type="dxa"/>
          </w:tblCellMar>
        </w:tblPrEx>
        <w:tc>
          <w:tcPr>
            <w:tcW w:w="4643" w:type="dxa"/>
            <w:noWrap w:val="0"/>
            <w:vAlign w:val="top"/>
          </w:tcPr>
          <w:p w14:paraId="6803B7E8">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甲方名称</w:t>
            </w:r>
            <w:r>
              <w:rPr>
                <w:rFonts w:hint="eastAsia" w:ascii="宋体" w:hAnsi="宋体" w:cs="宋体"/>
                <w:spacing w:val="-20"/>
                <w:kern w:val="0"/>
                <w:sz w:val="24"/>
                <w:szCs w:val="24"/>
              </w:rPr>
              <w:t>（盖章）</w:t>
            </w:r>
            <w:r>
              <w:rPr>
                <w:rFonts w:hint="eastAsia" w:ascii="宋体" w:hAnsi="宋体" w:cs="宋体"/>
                <w:kern w:val="0"/>
                <w:sz w:val="24"/>
                <w:szCs w:val="24"/>
              </w:rPr>
              <w:t>:</w:t>
            </w:r>
          </w:p>
          <w:p w14:paraId="358E4CFD">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地址：</w:t>
            </w:r>
          </w:p>
          <w:p w14:paraId="34179548">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代表人（签字）：</w:t>
            </w:r>
          </w:p>
          <w:p w14:paraId="36A589BC">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电话：</w:t>
            </w:r>
          </w:p>
          <w:p w14:paraId="6FA1F7A5">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开户银行：</w:t>
            </w:r>
          </w:p>
          <w:p w14:paraId="22FA3CCF">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lang w:eastAsia="zh-CN"/>
              </w:rPr>
              <w:t>账号</w:t>
            </w:r>
            <w:r>
              <w:rPr>
                <w:rFonts w:hint="eastAsia" w:ascii="宋体" w:hAnsi="宋体" w:cs="宋体"/>
                <w:kern w:val="0"/>
                <w:sz w:val="24"/>
                <w:szCs w:val="24"/>
              </w:rPr>
              <w:t>：</w:t>
            </w:r>
          </w:p>
        </w:tc>
        <w:tc>
          <w:tcPr>
            <w:tcW w:w="4643" w:type="dxa"/>
            <w:noWrap w:val="0"/>
            <w:vAlign w:val="top"/>
          </w:tcPr>
          <w:p w14:paraId="3F3039C5">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乙方名称</w:t>
            </w:r>
            <w:r>
              <w:rPr>
                <w:rFonts w:hint="eastAsia" w:ascii="宋体" w:hAnsi="宋体" w:cs="宋体"/>
                <w:spacing w:val="-20"/>
                <w:kern w:val="0"/>
                <w:sz w:val="24"/>
                <w:szCs w:val="24"/>
              </w:rPr>
              <w:t>（盖章）</w:t>
            </w:r>
            <w:r>
              <w:rPr>
                <w:rFonts w:hint="eastAsia" w:ascii="宋体" w:hAnsi="宋体" w:cs="宋体"/>
                <w:kern w:val="0"/>
                <w:sz w:val="24"/>
                <w:szCs w:val="24"/>
              </w:rPr>
              <w:t>:</w:t>
            </w:r>
          </w:p>
          <w:p w14:paraId="23D22525">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地址：</w:t>
            </w:r>
          </w:p>
          <w:p w14:paraId="1FCA74A3">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代表人（签字）：</w:t>
            </w:r>
          </w:p>
          <w:p w14:paraId="5F24B66F">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电话：</w:t>
            </w:r>
          </w:p>
          <w:p w14:paraId="782A7132">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rPr>
              <w:t>开户银行：</w:t>
            </w:r>
          </w:p>
          <w:p w14:paraId="44BDC11C">
            <w:pPr>
              <w:widowControl/>
              <w:autoSpaceDE w:val="0"/>
              <w:autoSpaceDN w:val="0"/>
              <w:snapToGrid w:val="0"/>
              <w:spacing w:line="360" w:lineRule="auto"/>
              <w:ind w:right="-154"/>
              <w:textAlignment w:val="bottom"/>
              <w:rPr>
                <w:rFonts w:hint="eastAsia" w:ascii="宋体" w:hAnsi="宋体" w:cs="宋体"/>
                <w:kern w:val="0"/>
                <w:sz w:val="24"/>
                <w:szCs w:val="24"/>
              </w:rPr>
            </w:pPr>
            <w:r>
              <w:rPr>
                <w:rFonts w:hint="eastAsia" w:ascii="宋体" w:hAnsi="宋体" w:cs="宋体"/>
                <w:kern w:val="0"/>
                <w:sz w:val="24"/>
                <w:szCs w:val="24"/>
                <w:lang w:eastAsia="zh-CN"/>
              </w:rPr>
              <w:t>账号</w:t>
            </w:r>
            <w:r>
              <w:rPr>
                <w:rFonts w:hint="eastAsia" w:ascii="宋体" w:hAnsi="宋体" w:cs="宋体"/>
                <w:kern w:val="0"/>
                <w:sz w:val="24"/>
                <w:szCs w:val="24"/>
              </w:rPr>
              <w:t>：</w:t>
            </w:r>
          </w:p>
        </w:tc>
      </w:tr>
    </w:tbl>
    <w:p w14:paraId="66725AF5">
      <w:pPr>
        <w:pStyle w:val="2"/>
      </w:pPr>
    </w:p>
    <w:p w14:paraId="46EF4946"/>
    <w:p w14:paraId="6395F68D">
      <w:pPr>
        <w:pStyle w:val="2"/>
      </w:pPr>
    </w:p>
    <w:p w14:paraId="0EAE37F4"/>
    <w:p w14:paraId="0E968B94">
      <w:pPr>
        <w:pStyle w:val="2"/>
      </w:pPr>
    </w:p>
    <w:p w14:paraId="0C3C1362"/>
    <w:p w14:paraId="5873A62A">
      <w:pPr>
        <w:pStyle w:val="2"/>
      </w:pPr>
    </w:p>
    <w:p w14:paraId="6FD6E529"/>
    <w:p w14:paraId="24F8477C">
      <w:pPr>
        <w:pStyle w:val="2"/>
      </w:pPr>
    </w:p>
    <w:p w14:paraId="363D88DB"/>
    <w:p w14:paraId="4A070B19">
      <w:pPr>
        <w:pStyle w:val="2"/>
      </w:pPr>
    </w:p>
    <w:p w14:paraId="6E04223C"/>
    <w:p w14:paraId="1C2A4E89">
      <w:pPr>
        <w:pStyle w:val="2"/>
      </w:pPr>
    </w:p>
    <w:p w14:paraId="2EB8E8E8"/>
    <w:p w14:paraId="1A75A3E6">
      <w:pPr>
        <w:pStyle w:val="2"/>
      </w:pPr>
    </w:p>
    <w:p w14:paraId="45D9D5BB"/>
    <w:p w14:paraId="64A44189">
      <w:pPr>
        <w:pStyle w:val="2"/>
      </w:pPr>
    </w:p>
    <w:p w14:paraId="5C2A3A94"/>
    <w:p w14:paraId="383D1D21">
      <w:pPr>
        <w:pStyle w:val="2"/>
      </w:pPr>
    </w:p>
    <w:p w14:paraId="41BC8C50"/>
    <w:p w14:paraId="09676266">
      <w:pPr>
        <w:pStyle w:val="2"/>
      </w:pPr>
    </w:p>
    <w:p w14:paraId="3FABE4D8"/>
    <w:p w14:paraId="5618B6E3">
      <w:pPr>
        <w:pStyle w:val="2"/>
      </w:pPr>
    </w:p>
    <w:p w14:paraId="50030DDD"/>
    <w:p w14:paraId="41FC8DB0">
      <w:pPr>
        <w:pStyle w:val="2"/>
      </w:pPr>
    </w:p>
    <w:p w14:paraId="0AA723B9"/>
    <w:p w14:paraId="791CAAC7">
      <w:pPr>
        <w:pStyle w:val="2"/>
      </w:pPr>
    </w:p>
    <w:p w14:paraId="3AA1BDB4"/>
    <w:p w14:paraId="75439DAD">
      <w:pPr>
        <w:pStyle w:val="2"/>
      </w:pPr>
    </w:p>
    <w:p w14:paraId="26EBC3F5"/>
    <w:p w14:paraId="390C8A2F">
      <w:pPr>
        <w:jc w:val="both"/>
        <w:rPr>
          <w:rFonts w:hint="eastAsia" w:ascii="宋体" w:hAnsi="宋体" w:eastAsia="宋体" w:cs="Times New Roman"/>
          <w:b/>
          <w:sz w:val="44"/>
          <w:szCs w:val="44"/>
          <w:lang w:val="en-US" w:eastAsia="zh-CN"/>
        </w:rPr>
      </w:pPr>
    </w:p>
    <w:p w14:paraId="14644601">
      <w:pPr>
        <w:widowControl w:val="0"/>
        <w:spacing w:line="360" w:lineRule="auto"/>
        <w:ind w:left="0" w:leftChars="0" w:firstLine="0" w:firstLineChars="0"/>
        <w:jc w:val="both"/>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项目编号:</w:t>
      </w:r>
    </w:p>
    <w:p w14:paraId="570130DD">
      <w:pPr>
        <w:pStyle w:val="7"/>
        <w:rPr>
          <w:rFonts w:hint="eastAsia" w:ascii="仿宋" w:hAnsi="仿宋" w:eastAsia="仿宋" w:cs="仿宋"/>
          <w:lang w:val="en-US" w:eastAsia="zh-CN"/>
        </w:rPr>
      </w:pPr>
    </w:p>
    <w:p w14:paraId="1D7C2F02">
      <w:pPr>
        <w:widowControl w:val="0"/>
        <w:ind w:left="0" w:leftChars="0" w:firstLine="0" w:firstLineChars="0"/>
        <w:jc w:val="both"/>
        <w:rPr>
          <w:rFonts w:hint="eastAsia" w:ascii="仿宋" w:hAnsi="仿宋" w:eastAsia="仿宋" w:cs="仿宋"/>
          <w:color w:val="auto"/>
          <w:sz w:val="28"/>
          <w:szCs w:val="28"/>
          <w:lang w:val="en-US" w:eastAsia="zh-CN" w:bidi="ar-SA"/>
        </w:rPr>
      </w:pPr>
    </w:p>
    <w:p w14:paraId="57757572">
      <w:pPr>
        <w:pStyle w:val="5"/>
        <w:jc w:val="center"/>
        <w:rPr>
          <w:rFonts w:hint="eastAsia" w:ascii="仿宋" w:hAnsi="仿宋" w:eastAsia="仿宋_GB2312" w:cs="仿宋"/>
          <w:b/>
          <w:bCs w:val="0"/>
          <w:color w:val="auto"/>
          <w:kern w:val="0"/>
          <w:sz w:val="44"/>
          <w:szCs w:val="44"/>
          <w:lang w:val="en-US" w:eastAsia="zh-CN"/>
        </w:rPr>
      </w:pPr>
      <w:r>
        <w:rPr>
          <w:rFonts w:hint="eastAsia" w:ascii="仿宋_GB2312" w:hAnsi="仿宋_GB2312" w:eastAsia="仿宋_GB2312" w:cs="仿宋_GB2312"/>
          <w:b/>
          <w:sz w:val="30"/>
          <w:szCs w:val="30"/>
          <w:lang w:val="en-US" w:eastAsia="zh-CN"/>
        </w:rPr>
        <w:t>渭南市临渭区普惠托育中心设施设备</w:t>
      </w:r>
      <w:r>
        <w:rPr>
          <w:rFonts w:ascii="仿宋_GB2312" w:hAnsi="仿宋_GB2312" w:eastAsia="仿宋_GB2312" w:cs="仿宋_GB2312"/>
          <w:b/>
          <w:sz w:val="30"/>
          <w:szCs w:val="30"/>
        </w:rPr>
        <w:t>采购项目</w:t>
      </w:r>
      <w:r>
        <w:rPr>
          <w:rFonts w:hint="eastAsia" w:ascii="仿宋_GB2312" w:hAnsi="仿宋_GB2312" w:eastAsia="仿宋_GB2312" w:cs="仿宋_GB2312"/>
          <w:b/>
          <w:sz w:val="30"/>
          <w:szCs w:val="30"/>
          <w:lang w:eastAsia="zh-CN"/>
        </w:rPr>
        <w:t>（</w:t>
      </w:r>
      <w:r>
        <w:rPr>
          <w:rFonts w:hint="eastAsia" w:ascii="仿宋_GB2312" w:hAnsi="仿宋_GB2312" w:eastAsia="仿宋_GB2312" w:cs="仿宋_GB2312"/>
          <w:b/>
          <w:sz w:val="30"/>
          <w:szCs w:val="30"/>
          <w:lang w:val="en-US" w:eastAsia="zh-CN"/>
        </w:rPr>
        <w:t>电梯等</w:t>
      </w:r>
      <w:r>
        <w:rPr>
          <w:rFonts w:hint="eastAsia" w:ascii="仿宋_GB2312" w:hAnsi="仿宋_GB2312" w:eastAsia="仿宋_GB2312" w:cs="仿宋_GB2312"/>
          <w:b/>
          <w:sz w:val="30"/>
          <w:szCs w:val="30"/>
          <w:lang w:eastAsia="zh-CN"/>
        </w:rPr>
        <w:t>）</w:t>
      </w:r>
    </w:p>
    <w:p w14:paraId="6398EDB6">
      <w:pPr>
        <w:pStyle w:val="5"/>
        <w:jc w:val="center"/>
        <w:rPr>
          <w:rFonts w:hint="default" w:ascii="仿宋_GB2312" w:hAnsi="仿宋_GB2312" w:eastAsia="仿宋_GB2312" w:cs="仿宋_GB2312"/>
          <w:b/>
          <w:sz w:val="30"/>
          <w:szCs w:val="30"/>
          <w:lang w:val="en-US" w:eastAsia="zh-CN"/>
        </w:rPr>
      </w:pPr>
      <w:r>
        <w:rPr>
          <w:rFonts w:hint="eastAsia" w:ascii="仿宋_GB2312" w:hAnsi="仿宋_GB2312" w:eastAsia="仿宋_GB2312" w:cs="仿宋_GB2312"/>
          <w:b/>
          <w:sz w:val="30"/>
          <w:szCs w:val="30"/>
          <w:lang w:val="en-US" w:eastAsia="zh-CN"/>
        </w:rPr>
        <w:t>采购包2</w:t>
      </w:r>
      <w:bookmarkStart w:id="31" w:name="_GoBack"/>
      <w:bookmarkEnd w:id="31"/>
      <w:r>
        <w:rPr>
          <w:rFonts w:hint="eastAsia" w:ascii="仿宋_GB2312" w:hAnsi="仿宋_GB2312" w:eastAsia="仿宋_GB2312" w:cs="仿宋_GB2312"/>
          <w:b/>
          <w:sz w:val="30"/>
          <w:szCs w:val="30"/>
          <w:lang w:val="en-US" w:eastAsia="zh-CN"/>
        </w:rPr>
        <w:t>：办公家具</w:t>
      </w:r>
    </w:p>
    <w:p w14:paraId="2D5956FE">
      <w:pPr>
        <w:widowControl w:val="0"/>
        <w:ind w:left="0" w:leftChars="0" w:firstLine="0" w:firstLineChars="0"/>
        <w:jc w:val="both"/>
        <w:rPr>
          <w:rFonts w:hint="eastAsia" w:ascii="仿宋" w:hAnsi="仿宋" w:eastAsia="仿宋" w:cs="仿宋"/>
          <w:color w:val="auto"/>
          <w:sz w:val="28"/>
          <w:szCs w:val="28"/>
          <w:lang w:val="en-US" w:eastAsia="zh-CN" w:bidi="ar-SA"/>
        </w:rPr>
      </w:pPr>
    </w:p>
    <w:p w14:paraId="18C7FBA6">
      <w:pPr>
        <w:pStyle w:val="2"/>
        <w:rPr>
          <w:rFonts w:hint="eastAsia"/>
          <w:lang w:val="en-US" w:eastAsia="zh-CN"/>
        </w:rPr>
      </w:pPr>
    </w:p>
    <w:p w14:paraId="47CCF133">
      <w:pPr>
        <w:pStyle w:val="7"/>
        <w:rPr>
          <w:rFonts w:hint="eastAsia" w:ascii="仿宋" w:hAnsi="仿宋" w:eastAsia="仿宋" w:cs="仿宋"/>
          <w:lang w:val="en-US" w:eastAsia="zh-CN"/>
        </w:rPr>
      </w:pPr>
    </w:p>
    <w:p w14:paraId="27D0F400">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31BB4AE6">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中标单位(乙方) :                              </w:t>
      </w:r>
    </w:p>
    <w:p w14:paraId="0E9A7A84">
      <w:pPr>
        <w:pStyle w:val="7"/>
        <w:ind w:left="0" w:leftChars="0" w:firstLine="0" w:firstLineChars="0"/>
        <w:rPr>
          <w:rFonts w:hint="eastAsia" w:ascii="仿宋" w:hAnsi="仿宋" w:eastAsia="仿宋" w:cs="仿宋"/>
        </w:rPr>
      </w:pPr>
    </w:p>
    <w:p w14:paraId="7A95A99A">
      <w:pPr>
        <w:pStyle w:val="8"/>
        <w:ind w:left="294" w:leftChars="0" w:hanging="294" w:hangingChars="105"/>
        <w:rPr>
          <w:rFonts w:hint="eastAsia"/>
        </w:rPr>
      </w:pPr>
    </w:p>
    <w:p w14:paraId="02538896">
      <w:pPr>
        <w:pStyle w:val="8"/>
        <w:ind w:left="294" w:leftChars="0" w:hanging="294" w:hangingChars="105"/>
        <w:rPr>
          <w:rFonts w:hint="eastAsia"/>
        </w:rPr>
      </w:pPr>
    </w:p>
    <w:p w14:paraId="3FA2A345">
      <w:pPr>
        <w:pStyle w:val="8"/>
        <w:ind w:left="294" w:leftChars="0" w:hanging="294" w:hangingChars="105"/>
        <w:rPr>
          <w:rFonts w:hint="eastAsia"/>
        </w:rPr>
      </w:pPr>
    </w:p>
    <w:p w14:paraId="3151CE4A">
      <w:pPr>
        <w:pStyle w:val="8"/>
        <w:ind w:left="294" w:leftChars="0" w:hanging="294" w:hangingChars="105"/>
        <w:rPr>
          <w:rFonts w:hint="eastAsia"/>
        </w:rPr>
      </w:pPr>
    </w:p>
    <w:p w14:paraId="122144F2">
      <w:pPr>
        <w:bidi w:val="0"/>
        <w:rPr>
          <w:rFonts w:hint="eastAsia" w:ascii="仿宋" w:hAnsi="仿宋" w:eastAsia="仿宋" w:cs="仿宋"/>
          <w:color w:val="000000"/>
          <w:sz w:val="24"/>
        </w:rPr>
      </w:pPr>
    </w:p>
    <w:p w14:paraId="273E0E7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签订地点：</w:t>
      </w:r>
      <w:r>
        <w:rPr>
          <w:rFonts w:hint="eastAsia" w:ascii="仿宋" w:hAnsi="仿宋" w:eastAsia="仿宋" w:cs="仿宋"/>
          <w:color w:val="000000"/>
          <w:sz w:val="24"/>
          <w:u w:val="single"/>
        </w:rPr>
        <w:t xml:space="preserve">                                             </w:t>
      </w:r>
    </w:p>
    <w:p w14:paraId="48F5F835">
      <w:pPr>
        <w:numPr>
          <w:ilvl w:val="0"/>
          <w:numId w:val="0"/>
        </w:numPr>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签订时间：</w:t>
      </w:r>
      <w:r>
        <w:rPr>
          <w:rFonts w:hint="eastAsia" w:ascii="仿宋" w:hAnsi="仿宋" w:eastAsia="仿宋" w:cs="仿宋"/>
          <w:color w:val="000000"/>
          <w:sz w:val="24"/>
          <w:u w:val="single"/>
        </w:rPr>
        <w:t xml:space="preserve">                                             </w:t>
      </w:r>
    </w:p>
    <w:p w14:paraId="644EA734">
      <w:r>
        <w:br w:type="page"/>
      </w:r>
    </w:p>
    <w:p w14:paraId="18295704">
      <w:pPr>
        <w:autoSpaceDE w:val="0"/>
        <w:autoSpaceDN w:val="0"/>
        <w:adjustRightInd w:val="0"/>
        <w:snapToGrid w:val="0"/>
        <w:spacing w:line="480" w:lineRule="auto"/>
        <w:ind w:firstLine="723" w:firstLineChars="200"/>
        <w:jc w:val="center"/>
        <w:rPr>
          <w:rFonts w:hint="eastAsia" w:ascii="仿宋" w:hAnsi="仿宋" w:eastAsia="仿宋"/>
          <w:b/>
          <w:bCs/>
          <w:sz w:val="48"/>
          <w:szCs w:val="48"/>
          <w:lang w:val="en-US" w:eastAsia="zh-CN"/>
        </w:rPr>
      </w:pPr>
      <w:r>
        <w:rPr>
          <w:rFonts w:hint="eastAsia" w:ascii="仿宋" w:hAnsi="仿宋" w:eastAsia="仿宋"/>
          <w:b/>
          <w:bCs/>
          <w:sz w:val="36"/>
          <w:szCs w:val="36"/>
          <w:lang w:val="en-US" w:eastAsia="zh-CN"/>
        </w:rPr>
        <w:t>采购合同</w:t>
      </w:r>
    </w:p>
    <w:p w14:paraId="596F0E55">
      <w:pPr>
        <w:autoSpaceDE w:val="0"/>
        <w:autoSpaceDN w:val="0"/>
        <w:adjustRightInd w:val="0"/>
        <w:snapToGrid w:val="0"/>
        <w:spacing w:line="480" w:lineRule="auto"/>
        <w:ind w:firstLine="560" w:firstLineChars="200"/>
        <w:rPr>
          <w:rFonts w:hint="eastAsia" w:ascii="仿宋" w:hAnsi="仿宋" w:eastAsia="仿宋"/>
          <w:sz w:val="28"/>
          <w:szCs w:val="28"/>
        </w:rPr>
      </w:pPr>
      <w:r>
        <w:rPr>
          <w:rFonts w:hint="eastAsia" w:ascii="仿宋" w:hAnsi="仿宋" w:eastAsia="仿宋"/>
          <w:sz w:val="28"/>
          <w:szCs w:val="28"/>
          <w:lang w:val="zh-CN"/>
        </w:rPr>
        <w:t>甲方</w:t>
      </w:r>
      <w:r>
        <w:rPr>
          <w:rFonts w:hint="eastAsia" w:ascii="仿宋" w:hAnsi="仿宋" w:eastAsia="仿宋"/>
          <w:sz w:val="28"/>
          <w:szCs w:val="28"/>
        </w:rPr>
        <w:t>（</w:t>
      </w:r>
      <w:r>
        <w:rPr>
          <w:rFonts w:hint="eastAsia" w:ascii="仿宋" w:hAnsi="仿宋" w:eastAsia="仿宋"/>
          <w:sz w:val="28"/>
          <w:szCs w:val="28"/>
          <w:lang w:val="zh-CN"/>
        </w:rPr>
        <w:t>需方</w:t>
      </w:r>
      <w:r>
        <w:rPr>
          <w:rFonts w:hint="eastAsia" w:ascii="仿宋" w:hAnsi="仿宋" w:eastAsia="仿宋"/>
          <w:sz w:val="28"/>
          <w:szCs w:val="28"/>
        </w:rPr>
        <w:t xml:space="preserve">）：                           </w:t>
      </w:r>
    </w:p>
    <w:p w14:paraId="69BBD5F4">
      <w:pPr>
        <w:autoSpaceDE w:val="0"/>
        <w:autoSpaceDN w:val="0"/>
        <w:adjustRightInd w:val="0"/>
        <w:snapToGrid w:val="0"/>
        <w:spacing w:line="48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乙方（供方）：</w:t>
      </w:r>
    </w:p>
    <w:p w14:paraId="3E32636E">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渭南市</w:t>
      </w:r>
      <w:r>
        <w:rPr>
          <w:rFonts w:hint="eastAsia" w:ascii="仿宋" w:hAnsi="仿宋" w:eastAsia="仿宋"/>
          <w:sz w:val="28"/>
          <w:szCs w:val="28"/>
          <w:lang w:val="en-US" w:eastAsia="zh-CN"/>
        </w:rPr>
        <w:t>临渭区</w:t>
      </w:r>
      <w:r>
        <w:rPr>
          <w:rFonts w:hint="eastAsia" w:ascii="仿宋" w:hAnsi="仿宋" w:eastAsia="仿宋"/>
          <w:sz w:val="28"/>
          <w:szCs w:val="28"/>
          <w:lang w:val="zh-CN"/>
        </w:rPr>
        <w:t>政府采购中心    年   月   日，在渭南市</w:t>
      </w:r>
      <w:r>
        <w:rPr>
          <w:rFonts w:hint="eastAsia" w:ascii="仿宋" w:hAnsi="仿宋" w:eastAsia="仿宋"/>
          <w:sz w:val="28"/>
          <w:szCs w:val="28"/>
          <w:lang w:val="en-US" w:eastAsia="zh-CN"/>
        </w:rPr>
        <w:t>临渭区财政</w:t>
      </w:r>
      <w:r>
        <w:rPr>
          <w:rFonts w:hint="eastAsia" w:ascii="仿宋" w:hAnsi="仿宋" w:eastAsia="仿宋" w:cs="Times New Roman"/>
          <w:sz w:val="28"/>
          <w:szCs w:val="28"/>
          <w:lang w:val="en-US" w:eastAsia="zh-CN"/>
        </w:rPr>
        <w:t>局七楼开标室</w:t>
      </w:r>
      <w:r>
        <w:rPr>
          <w:rFonts w:hint="eastAsia" w:ascii="仿宋" w:hAnsi="仿宋" w:eastAsia="仿宋" w:cs="Times New Roman"/>
          <w:sz w:val="28"/>
          <w:szCs w:val="28"/>
          <w:lang w:val="zh-CN"/>
        </w:rPr>
        <w:t>组织的</w:t>
      </w:r>
      <w:r>
        <w:rPr>
          <w:rFonts w:hint="eastAsia" w:ascii="仿宋" w:hAnsi="仿宋" w:eastAsia="仿宋" w:cs="Times New Roman"/>
          <w:sz w:val="28"/>
          <w:szCs w:val="28"/>
          <w:lang w:val="en-US" w:eastAsia="zh-CN"/>
        </w:rPr>
        <w:t>渭南市临渭区普惠托育中心设施设备</w:t>
      </w:r>
      <w:r>
        <w:rPr>
          <w:rFonts w:hint="eastAsia" w:ascii="仿宋" w:hAnsi="仿宋" w:eastAsia="仿宋" w:cs="Times New Roman"/>
          <w:sz w:val="28"/>
          <w:szCs w:val="28"/>
          <w:lang w:val="zh-CN"/>
        </w:rPr>
        <w:t>采购项目（</w:t>
      </w:r>
      <w:r>
        <w:rPr>
          <w:rFonts w:hint="eastAsia" w:ascii="仿宋" w:hAnsi="仿宋" w:eastAsia="仿宋" w:cs="Times New Roman"/>
          <w:sz w:val="28"/>
          <w:szCs w:val="28"/>
          <w:lang w:val="en-US" w:eastAsia="zh-CN"/>
        </w:rPr>
        <w:t>电梯等</w:t>
      </w:r>
      <w:r>
        <w:rPr>
          <w:rFonts w:hint="eastAsia" w:ascii="仿宋" w:hAnsi="仿宋" w:eastAsia="仿宋" w:cs="Times New Roman"/>
          <w:sz w:val="28"/>
          <w:szCs w:val="28"/>
          <w:lang w:val="zh-CN"/>
        </w:rPr>
        <w:t>）</w:t>
      </w:r>
      <w:r>
        <w:rPr>
          <w:rFonts w:hint="eastAsia" w:ascii="仿宋" w:hAnsi="仿宋" w:eastAsia="仿宋"/>
          <w:sz w:val="28"/>
          <w:szCs w:val="28"/>
          <w:lang w:val="zh-CN"/>
        </w:rPr>
        <w:t>采购活动中，</w:t>
      </w:r>
      <w:r>
        <w:rPr>
          <w:rFonts w:hint="eastAsia" w:ascii="仿宋" w:hAnsi="仿宋" w:eastAsia="仿宋"/>
          <w:sz w:val="28"/>
          <w:szCs w:val="28"/>
          <w:u w:val="single"/>
          <w:lang w:val="zh-CN"/>
        </w:rPr>
        <w:t xml:space="preserve">             </w:t>
      </w:r>
      <w:r>
        <w:rPr>
          <w:rFonts w:hint="eastAsia" w:ascii="仿宋" w:hAnsi="仿宋" w:eastAsia="仿宋"/>
          <w:sz w:val="28"/>
          <w:szCs w:val="28"/>
          <w:lang w:val="zh-CN"/>
        </w:rPr>
        <w:t>公司为中标供应商，现就有关事宜协议如下：</w:t>
      </w:r>
    </w:p>
    <w:p w14:paraId="4CB7F38C">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1、合同内容及金额：即成交供应商的响应具体内容及其成交总金额（包括所发生的运输费、杂费（含保险）、商检费、搬运费、安装调试费、培训费等一切费用）。其金额不受市场和工作量变化的影响。</w:t>
      </w:r>
    </w:p>
    <w:p w14:paraId="1BC1C974">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2、设备技术规格、数量：即交付的设备技术规格、型号、数量与响应文件所指明的，或者与本合同所指明的技术规格及型号相一致。</w:t>
      </w:r>
    </w:p>
    <w:p w14:paraId="3B0254AC">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3、知识产权：即成交供应商应保证采购人在使用成交的设备时，不承担任何涉及知识产权法律诉讼的责任。</w:t>
      </w:r>
    </w:p>
    <w:p w14:paraId="728DEB2D">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4、</w:t>
      </w:r>
      <w:r>
        <w:rPr>
          <w:rFonts w:hint="eastAsia" w:ascii="仿宋" w:hAnsi="仿宋" w:eastAsia="仿宋"/>
          <w:sz w:val="28"/>
          <w:szCs w:val="28"/>
          <w:lang w:val="en-US" w:eastAsia="zh-CN"/>
        </w:rPr>
        <w:t>交货</w:t>
      </w:r>
      <w:r>
        <w:rPr>
          <w:rFonts w:hint="eastAsia" w:ascii="仿宋" w:hAnsi="仿宋" w:eastAsia="仿宋"/>
          <w:sz w:val="28"/>
          <w:szCs w:val="28"/>
          <w:lang w:val="zh-CN"/>
        </w:rPr>
        <w:t>期：合同签订</w:t>
      </w:r>
      <w:r>
        <w:rPr>
          <w:rFonts w:hint="eastAsia" w:ascii="仿宋" w:hAnsi="仿宋" w:eastAsia="仿宋"/>
          <w:sz w:val="28"/>
          <w:szCs w:val="28"/>
          <w:lang w:val="en-US" w:eastAsia="zh-CN"/>
        </w:rPr>
        <w:t>之日起30日历天</w:t>
      </w:r>
      <w:r>
        <w:rPr>
          <w:rFonts w:hint="eastAsia" w:ascii="仿宋" w:hAnsi="仿宋" w:eastAsia="仿宋"/>
          <w:sz w:val="28"/>
          <w:szCs w:val="28"/>
          <w:lang w:val="zh-CN"/>
        </w:rPr>
        <w:t>。</w:t>
      </w:r>
    </w:p>
    <w:p w14:paraId="28D941BE">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质保期：</w:t>
      </w:r>
    </w:p>
    <w:p w14:paraId="2B93F3EE">
      <w:pPr>
        <w:numPr>
          <w:ilvl w:val="0"/>
          <w:numId w:val="1"/>
        </w:num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 xml:space="preserve">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w:t>
      </w:r>
    </w:p>
    <w:p w14:paraId="12ABAAE8">
      <w:pPr>
        <w:numPr>
          <w:ilvl w:val="0"/>
          <w:numId w:val="1"/>
        </w:numPr>
        <w:autoSpaceDE w:val="0"/>
        <w:autoSpaceDN w:val="0"/>
        <w:adjustRightInd w:val="0"/>
        <w:snapToGrid w:val="0"/>
        <w:spacing w:line="360" w:lineRule="auto"/>
        <w:ind w:left="0" w:leftChars="0"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在质量保证期内，如果货物的质量、规格、技术指标等与合同有任何一项不符，买方应尽快以书面形式向卖方提出索赔。</w:t>
      </w:r>
    </w:p>
    <w:p w14:paraId="69BE43B2">
      <w:pPr>
        <w:numPr>
          <w:ilvl w:val="0"/>
          <w:numId w:val="1"/>
        </w:numPr>
        <w:autoSpaceDE w:val="0"/>
        <w:autoSpaceDN w:val="0"/>
        <w:adjustRightInd w:val="0"/>
        <w:snapToGrid w:val="0"/>
        <w:spacing w:line="360" w:lineRule="auto"/>
        <w:ind w:left="0" w:leftChars="0" w:firstLine="560" w:firstLineChars="200"/>
        <w:jc w:val="left"/>
        <w:rPr>
          <w:rFonts w:hint="eastAsia" w:ascii="仿宋" w:hAnsi="仿宋" w:eastAsia="仿宋" w:cs="仿宋"/>
          <w:sz w:val="28"/>
          <w:szCs w:val="28"/>
          <w:lang w:val="zh-CN"/>
        </w:rPr>
      </w:pPr>
      <w:r>
        <w:rPr>
          <w:rFonts w:hint="eastAsia" w:ascii="仿宋" w:hAnsi="仿宋" w:eastAsia="仿宋"/>
          <w:sz w:val="28"/>
          <w:szCs w:val="28"/>
          <w:lang w:val="zh-CN"/>
        </w:rPr>
        <w:t>卖方在收到买方的通知后，应及时免费维修或更换有缺陷的货物或部件，并相应延长保修期限</w:t>
      </w:r>
      <w:r>
        <w:rPr>
          <w:rFonts w:hint="eastAsia" w:ascii="仿宋" w:hAnsi="仿宋" w:eastAsia="仿宋" w:cs="仿宋"/>
          <w:sz w:val="28"/>
          <w:szCs w:val="28"/>
          <w:lang w:val="zh-CN"/>
        </w:rPr>
        <w:t>。</w:t>
      </w:r>
      <w:r>
        <w:rPr>
          <w:rFonts w:hint="eastAsia" w:ascii="仿宋" w:hAnsi="仿宋" w:eastAsia="仿宋" w:cs="仿宋"/>
          <w:kern w:val="0"/>
          <w:sz w:val="28"/>
          <w:szCs w:val="28"/>
        </w:rPr>
        <w:t>货物故障报修的响应时间为：工作期间（星期一至星期五8：00-18：00）为</w:t>
      </w:r>
      <w:r>
        <w:rPr>
          <w:rFonts w:hint="eastAsia" w:ascii="仿宋" w:hAnsi="仿宋" w:eastAsia="仿宋" w:cs="仿宋"/>
          <w:kern w:val="0"/>
          <w:sz w:val="28"/>
          <w:szCs w:val="28"/>
          <w:u w:val="none"/>
        </w:rPr>
        <w:t>2</w:t>
      </w:r>
      <w:r>
        <w:rPr>
          <w:rFonts w:hint="eastAsia" w:ascii="仿宋" w:hAnsi="仿宋" w:eastAsia="仿宋" w:cs="仿宋"/>
          <w:kern w:val="0"/>
          <w:sz w:val="28"/>
          <w:szCs w:val="28"/>
        </w:rPr>
        <w:t>小时；非工作期间为</w:t>
      </w:r>
      <w:r>
        <w:rPr>
          <w:rFonts w:hint="eastAsia" w:ascii="仿宋" w:hAnsi="仿宋" w:eastAsia="仿宋" w:cs="仿宋"/>
          <w:kern w:val="0"/>
          <w:sz w:val="28"/>
          <w:szCs w:val="28"/>
          <w:u w:val="none"/>
        </w:rPr>
        <w:t>4</w:t>
      </w:r>
      <w:r>
        <w:rPr>
          <w:rFonts w:hint="eastAsia" w:ascii="仿宋" w:hAnsi="仿宋" w:eastAsia="仿宋" w:cs="仿宋"/>
          <w:kern w:val="0"/>
          <w:sz w:val="28"/>
          <w:szCs w:val="28"/>
        </w:rPr>
        <w:t>小时</w:t>
      </w:r>
      <w:r>
        <w:rPr>
          <w:rFonts w:hint="eastAsia" w:ascii="仿宋" w:hAnsi="仿宋" w:eastAsia="仿宋" w:cs="仿宋"/>
          <w:kern w:val="0"/>
          <w:sz w:val="28"/>
          <w:szCs w:val="28"/>
          <w:lang w:eastAsia="zh-CN"/>
        </w:rPr>
        <w:t>。</w:t>
      </w:r>
    </w:p>
    <w:p w14:paraId="6C8B764D">
      <w:pPr>
        <w:numPr>
          <w:ilvl w:val="0"/>
          <w:numId w:val="0"/>
        </w:num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 xml:space="preserve">（4）如果卖方在收到通知后，没有在上述合同条款中规定的时限内及时弥补缺陷，买方可采取必要的补救措施，但其风险和费用将由卖方承担，买方根据合同规定对卖方行使的其它权力不受影响。 </w:t>
      </w:r>
    </w:p>
    <w:p w14:paraId="3D602DBE">
      <w:pPr>
        <w:numPr>
          <w:ilvl w:val="0"/>
          <w:numId w:val="0"/>
        </w:numPr>
        <w:autoSpaceDE w:val="0"/>
        <w:autoSpaceDN w:val="0"/>
        <w:adjustRightInd w:val="0"/>
        <w:snapToGrid w:val="0"/>
        <w:spacing w:line="360" w:lineRule="auto"/>
        <w:ind w:leftChars="200"/>
        <w:jc w:val="left"/>
        <w:rPr>
          <w:rFonts w:hint="eastAsia" w:ascii="仿宋" w:hAnsi="仿宋" w:eastAsia="仿宋"/>
          <w:sz w:val="28"/>
          <w:szCs w:val="28"/>
          <w:lang w:val="zh-CN"/>
        </w:rPr>
      </w:pPr>
      <w:r>
        <w:rPr>
          <w:rFonts w:hint="eastAsia" w:ascii="仿宋" w:hAnsi="仿宋" w:eastAsia="仿宋"/>
          <w:sz w:val="28"/>
          <w:szCs w:val="28"/>
          <w:lang w:val="zh-CN"/>
        </w:rPr>
        <w:t>（5）质量保修期：</w:t>
      </w:r>
      <w:r>
        <w:rPr>
          <w:rFonts w:hint="eastAsia" w:ascii="仿宋" w:hAnsi="仿宋" w:eastAsia="仿宋"/>
          <w:sz w:val="28"/>
          <w:szCs w:val="28"/>
          <w:lang w:val="en-US" w:eastAsia="zh-CN"/>
        </w:rPr>
        <w:t>1</w:t>
      </w:r>
      <w:r>
        <w:rPr>
          <w:rFonts w:hint="eastAsia" w:ascii="仿宋" w:hAnsi="仿宋" w:eastAsia="仿宋"/>
          <w:sz w:val="28"/>
          <w:szCs w:val="28"/>
          <w:lang w:val="zh-CN"/>
        </w:rPr>
        <w:t>年。</w:t>
      </w:r>
    </w:p>
    <w:p w14:paraId="47129665">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成交供应商未征得采购人同意和谅解而单方面延迟交货，将按违约终止合同。</w:t>
      </w:r>
    </w:p>
    <w:p w14:paraId="707769EB">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成交供应商遇到可能妨碍按时安装调试的情况，应当及时以书面形式通知采购人，说明原由、拖延的期限等；采购人在收到通知后，尽快进行情况评估并确定是否通过修改合同，酌情延长交工时间或者通过协商加收误期赔偿金。</w:t>
      </w:r>
    </w:p>
    <w:p w14:paraId="662731E9">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5、交货地点：</w:t>
      </w:r>
      <w:r>
        <w:rPr>
          <w:rFonts w:hint="eastAsia" w:ascii="仿宋" w:hAnsi="仿宋" w:eastAsia="仿宋"/>
          <w:sz w:val="28"/>
          <w:szCs w:val="28"/>
          <w:lang w:val="en-US" w:eastAsia="zh-CN"/>
        </w:rPr>
        <w:t>采购人指定地点</w:t>
      </w:r>
      <w:r>
        <w:rPr>
          <w:rFonts w:hint="eastAsia" w:ascii="仿宋" w:hAnsi="仿宋" w:eastAsia="仿宋"/>
          <w:sz w:val="28"/>
          <w:szCs w:val="28"/>
          <w:lang w:val="zh-CN"/>
        </w:rPr>
        <w:t>。</w:t>
      </w:r>
    </w:p>
    <w:p w14:paraId="209AEAA3">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6、包装：包装必须适应设备和交通运输要求，以及国家有关标准或企业标准或合同要求。成交供应商应承担由于包装、防护措施不妥引起的所有损失的责任和费用。</w:t>
      </w:r>
    </w:p>
    <w:p w14:paraId="092F8946">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7、运输：成交供应商可根据交货期、运输条件自行选择运输方式（另有规定的除外），承担一切运输费用。</w:t>
      </w:r>
    </w:p>
    <w:p w14:paraId="63DDD966">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8、付款方式：</w:t>
      </w:r>
    </w:p>
    <w:p w14:paraId="3BFA175D">
      <w:pPr>
        <w:autoSpaceDE w:val="0"/>
        <w:autoSpaceDN w:val="0"/>
        <w:adjustRightInd w:val="0"/>
        <w:snapToGrid w:val="0"/>
        <w:spacing w:line="360" w:lineRule="auto"/>
        <w:ind w:firstLine="560" w:firstLineChars="200"/>
        <w:jc w:val="left"/>
        <w:rPr>
          <w:rFonts w:hint="eastAsia" w:ascii="仿宋" w:hAnsi="仿宋" w:eastAsia="仿宋"/>
          <w:sz w:val="28"/>
          <w:szCs w:val="28"/>
          <w:lang w:val="zh-CN" w:eastAsia="zh-CN"/>
        </w:rPr>
      </w:pPr>
      <w:r>
        <w:rPr>
          <w:rFonts w:hint="eastAsia" w:ascii="仿宋" w:hAnsi="仿宋" w:eastAsia="仿宋"/>
          <w:sz w:val="28"/>
          <w:szCs w:val="28"/>
          <w:lang w:val="zh-CN"/>
        </w:rPr>
        <w:t>采购包1：</w:t>
      </w:r>
      <w:r>
        <w:rPr>
          <w:rFonts w:hint="eastAsia" w:ascii="仿宋" w:hAnsi="仿宋" w:eastAsia="仿宋"/>
          <w:sz w:val="28"/>
          <w:szCs w:val="28"/>
          <w:lang w:val="zh-CN" w:eastAsia="zh-CN"/>
        </w:rPr>
        <w:t>根据甲方要求，本项目采取分批供货方式。合同签订后10日内，按供货情况支付该批次合同总金额的40%；项目分批供货到位，安装调试完成并验收合格后，达到付款条件起30日内，甲方支付该批次剩余60%的货款。</w:t>
      </w:r>
    </w:p>
    <w:p w14:paraId="7BF29DC2">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9、技术保障：成交供应商应随同设备单提供相应的中文技术文件（包括产品合格证、装箱清单、操作手册、使用说明、检测报告、维护手册、服务指南等资料），现场安装、调试、试运行技术保障服务。</w:t>
      </w:r>
    </w:p>
    <w:p w14:paraId="5747EC23">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10、考察与人员技术培训：</w:t>
      </w:r>
    </w:p>
    <w:p w14:paraId="6D797FA7">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10.1培训方式：现场培训；</w:t>
      </w:r>
    </w:p>
    <w:p w14:paraId="1C7268B2">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10.2培训人数：用户指定人员及人数；</w:t>
      </w:r>
    </w:p>
    <w:p w14:paraId="2C43ACD0">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10.3培训内容：</w:t>
      </w:r>
    </w:p>
    <w:p w14:paraId="0CA3A84C">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以上各项培训均为免费。</w:t>
      </w:r>
    </w:p>
    <w:p w14:paraId="1009C118">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11、质量保证</w:t>
      </w:r>
    </w:p>
    <w:p w14:paraId="6AE94789">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11.1成交供应商使用的原材料应提供清单，并在到货24小时内通知采购人代表检验核实（具体方式在合同中明确）。</w:t>
      </w:r>
    </w:p>
    <w:p w14:paraId="56459A06">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11.2成交供应商应当保证所供设备的来源渠道正常，产品是全新的、未使用过的，且完全符合合同规定的质量、规格、技术指标等要求，并在质保期内、外应对由于产品设计、工艺或材料的缺陷而产生的质量问题负责。</w:t>
      </w:r>
    </w:p>
    <w:p w14:paraId="76F78D74">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11.3在质保期内，如果发现设备的质量、规格、技术指标等存在与合同有任何一项不符，采购人应在最短时间内，以书面形式向成交供应商人提出索赔。同时告</w:t>
      </w:r>
      <w:r>
        <w:rPr>
          <w:rFonts w:hint="eastAsia" w:ascii="仿宋" w:hAnsi="仿宋" w:eastAsia="仿宋"/>
          <w:sz w:val="28"/>
          <w:szCs w:val="28"/>
          <w:lang w:val="en-US" w:eastAsia="zh-CN"/>
        </w:rPr>
        <w:t>知</w:t>
      </w:r>
      <w:r>
        <w:rPr>
          <w:rFonts w:hint="eastAsia" w:ascii="仿宋" w:hAnsi="仿宋" w:eastAsia="仿宋"/>
          <w:sz w:val="28"/>
          <w:szCs w:val="28"/>
          <w:lang w:val="zh-CN"/>
        </w:rPr>
        <w:t>招标</w:t>
      </w:r>
      <w:r>
        <w:rPr>
          <w:rFonts w:hint="eastAsia" w:ascii="仿宋" w:hAnsi="仿宋" w:eastAsia="仿宋"/>
          <w:sz w:val="28"/>
          <w:szCs w:val="28"/>
          <w:lang w:val="en-US" w:eastAsia="zh-CN"/>
        </w:rPr>
        <w:t>代理</w:t>
      </w:r>
      <w:r>
        <w:rPr>
          <w:rFonts w:hint="eastAsia" w:ascii="仿宋" w:hAnsi="仿宋" w:eastAsia="仿宋"/>
          <w:sz w:val="28"/>
          <w:szCs w:val="28"/>
          <w:lang w:val="zh-CN"/>
        </w:rPr>
        <w:t>机构。</w:t>
      </w:r>
    </w:p>
    <w:p w14:paraId="72242082">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11.4成交供应商应当明确售后服务公约，承诺免费维修服务条件。</w:t>
      </w:r>
    </w:p>
    <w:p w14:paraId="7CBB946E">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12、检验：在交货前，成交供应商应当对所提供设备的质量、规格、技术、数量等进行准确而全面的检验，出具合格证并封装；设备送达指定地点后，成交供应商、采购人须在约定的时间和地点共同开箱检验。</w:t>
      </w:r>
    </w:p>
    <w:p w14:paraId="664BAF6C">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13、验收：通过检验的设备方可进行安装、调试，达到正常使用条件时由采购人负责组织邀请有关专家、质检机构共同进行验收；验收合格须交接项目实施的全部资料，并填写政府采购项目验收报告单。验收须以合同、</w:t>
      </w:r>
      <w:r>
        <w:rPr>
          <w:rFonts w:hint="eastAsia" w:ascii="仿宋" w:hAnsi="仿宋" w:eastAsia="仿宋"/>
          <w:sz w:val="28"/>
          <w:szCs w:val="28"/>
          <w:lang w:val="en-US" w:eastAsia="zh-CN"/>
        </w:rPr>
        <w:t>国家</w:t>
      </w:r>
      <w:r>
        <w:rPr>
          <w:rFonts w:hint="eastAsia" w:ascii="仿宋" w:hAnsi="仿宋" w:eastAsia="仿宋"/>
          <w:sz w:val="28"/>
          <w:szCs w:val="28"/>
          <w:lang w:val="zh-CN"/>
        </w:rPr>
        <w:t>相应的标准、规范等为依据。</w:t>
      </w:r>
    </w:p>
    <w:p w14:paraId="31ECE80A">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14、合同争议的解决：合同执行中发生争议的，当事人双方应协商解决，协商达不成一致时，可向当地行政仲裁机关申请仲裁或者向人民法院提请诉讼。</w:t>
      </w:r>
    </w:p>
    <w:p w14:paraId="0759FD78">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15、合同一经签订，不得擅自变更、中止或者终止合同。对确需变更、调整或者中止、终止合同的，应按规定履行相应的手续。</w:t>
      </w:r>
    </w:p>
    <w:p w14:paraId="6A0C4C81">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en-US" w:eastAsia="zh-CN"/>
        </w:rPr>
        <w:t>16、</w:t>
      </w:r>
      <w:r>
        <w:rPr>
          <w:rFonts w:hint="eastAsia" w:ascii="仿宋" w:hAnsi="仿宋" w:eastAsia="仿宋"/>
          <w:sz w:val="28"/>
          <w:szCs w:val="28"/>
          <w:lang w:val="zh-CN"/>
        </w:rPr>
        <w:t xml:space="preserve"> 双方权利义务</w:t>
      </w:r>
    </w:p>
    <w:p w14:paraId="3B3AE07F">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甲方权利义务：</w:t>
      </w:r>
    </w:p>
    <w:p w14:paraId="3B504040">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en-US" w:eastAsia="zh-CN"/>
        </w:rPr>
        <w:t>16</w:t>
      </w:r>
      <w:r>
        <w:rPr>
          <w:rFonts w:hint="eastAsia" w:ascii="仿宋" w:hAnsi="仿宋" w:eastAsia="仿宋"/>
          <w:sz w:val="28"/>
          <w:szCs w:val="28"/>
          <w:lang w:val="zh-CN"/>
        </w:rPr>
        <w:t>.1 按合同约定支付款项。</w:t>
      </w:r>
    </w:p>
    <w:p w14:paraId="47742AED">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.2 提供符合要求的安装场地和条件。</w:t>
      </w:r>
    </w:p>
    <w:p w14:paraId="77603D0B">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.3 及时组织验收工作。</w:t>
      </w:r>
    </w:p>
    <w:p w14:paraId="553E3DFA">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.4 有权监督乙方的安装质量和进度。</w:t>
      </w:r>
    </w:p>
    <w:p w14:paraId="6F283F1B">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.5 按说明书要求正确使用和维护设备。</w:t>
      </w:r>
    </w:p>
    <w:p w14:paraId="1B42DCE5">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.6 在保修期内非质量问题造成的维修，应支付相应费用。</w:t>
      </w:r>
    </w:p>
    <w:p w14:paraId="2E460D8B">
      <w:pPr>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乙方权利义务：</w:t>
      </w:r>
    </w:p>
    <w:p w14:paraId="4032DC33">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.7 保证设备来源合法、质量合格，是原厂正品。</w:t>
      </w:r>
    </w:p>
    <w:p w14:paraId="240B59C2">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.8 按合同约定时间、地点交付合格设备。</w:t>
      </w:r>
    </w:p>
    <w:p w14:paraId="1A77E3EC">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.9 严格按照技术规范和合同要求进行安全、文明施工，确保安装质量。</w:t>
      </w:r>
    </w:p>
    <w:p w14:paraId="0DDDE924">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.10 承担安装期间的人员、设备安全责任。</w:t>
      </w:r>
    </w:p>
    <w:p w14:paraId="7DB865A6">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.11 提供完整的技术资料（说明书、保修卡、合格证等）和操作培训。</w:t>
      </w:r>
    </w:p>
    <w:p w14:paraId="0A3DA77F">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.12 履行保修义务。</w:t>
      </w:r>
    </w:p>
    <w:p w14:paraId="5C43DCC5">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.13 遵守甲方现场管理制度。</w:t>
      </w:r>
    </w:p>
    <w:p w14:paraId="5C70B30B">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7</w:t>
      </w:r>
      <w:r>
        <w:rPr>
          <w:rFonts w:hint="eastAsia" w:ascii="仿宋" w:hAnsi="仿宋" w:eastAsia="仿宋"/>
          <w:sz w:val="28"/>
          <w:szCs w:val="28"/>
          <w:lang w:val="zh-CN"/>
        </w:rPr>
        <w:t>、违约责任：依据《中华人民共和国</w:t>
      </w:r>
      <w:r>
        <w:rPr>
          <w:rFonts w:hint="eastAsia" w:ascii="仿宋" w:hAnsi="仿宋" w:eastAsia="仿宋"/>
          <w:sz w:val="28"/>
          <w:szCs w:val="28"/>
          <w:lang w:val="en-US" w:eastAsia="zh-CN"/>
        </w:rPr>
        <w:t>民法典</w:t>
      </w:r>
      <w:r>
        <w:rPr>
          <w:rFonts w:hint="eastAsia" w:ascii="仿宋" w:hAnsi="仿宋" w:eastAsia="仿宋"/>
          <w:sz w:val="28"/>
          <w:szCs w:val="28"/>
          <w:lang w:val="zh-CN"/>
        </w:rPr>
        <w:t>》、《中华人民共和国政府采购法》的相关条款规定和本合同约定，成交供应商未全面履行合同义务或者发生违约，采购人有权终止合同，依法向成交供应商进行经济索赔，并报请政府采购监督管理机关依法进行相应的行政处罚。采购人违约的，应当赔偿给成交供应商造成的经济损失。</w:t>
      </w:r>
    </w:p>
    <w:p w14:paraId="2971422D">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8</w:t>
      </w:r>
      <w:r>
        <w:rPr>
          <w:rFonts w:hint="eastAsia" w:ascii="仿宋" w:hAnsi="仿宋" w:eastAsia="仿宋"/>
          <w:sz w:val="28"/>
          <w:szCs w:val="28"/>
          <w:lang w:val="zh-CN"/>
        </w:rPr>
        <w:t>、合同正本一式4份，采购人、成交供应商、</w:t>
      </w:r>
      <w:r>
        <w:rPr>
          <w:rFonts w:hint="eastAsia" w:ascii="仿宋" w:hAnsi="仿宋" w:eastAsia="仿宋"/>
          <w:sz w:val="28"/>
          <w:szCs w:val="28"/>
          <w:lang w:val="en-US" w:eastAsia="zh-CN"/>
        </w:rPr>
        <w:t>政府采购中心</w:t>
      </w:r>
      <w:r>
        <w:rPr>
          <w:rFonts w:hint="eastAsia" w:ascii="仿宋" w:hAnsi="仿宋" w:eastAsia="仿宋"/>
          <w:sz w:val="28"/>
          <w:szCs w:val="28"/>
          <w:lang w:val="zh-CN"/>
        </w:rPr>
        <w:t>各执一份，政府采购监督管理机关备案执一份。</w:t>
      </w:r>
    </w:p>
    <w:p w14:paraId="65BF98AC">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9</w:t>
      </w:r>
      <w:r>
        <w:rPr>
          <w:rFonts w:hint="eastAsia" w:ascii="仿宋" w:hAnsi="仿宋" w:eastAsia="仿宋"/>
          <w:sz w:val="28"/>
          <w:szCs w:val="28"/>
          <w:lang w:val="zh-CN"/>
        </w:rPr>
        <w:t>、其他（在合同中具体明确）</w:t>
      </w:r>
    </w:p>
    <w:p w14:paraId="4E81B12F">
      <w:pPr>
        <w:tabs>
          <w:tab w:val="left" w:pos="1155"/>
        </w:tabs>
        <w:spacing w:line="360" w:lineRule="auto"/>
        <w:ind w:firstLine="548" w:firstLineChars="196"/>
        <w:rPr>
          <w:rFonts w:hint="eastAsia" w:ascii="仿宋" w:hAnsi="仿宋" w:eastAsia="仿宋"/>
          <w:sz w:val="28"/>
          <w:szCs w:val="28"/>
          <w:lang w:val="zh-CN"/>
        </w:rPr>
      </w:pPr>
    </w:p>
    <w:p w14:paraId="6237BDFA">
      <w:pPr>
        <w:tabs>
          <w:tab w:val="left" w:pos="1155"/>
        </w:tabs>
        <w:spacing w:line="360" w:lineRule="auto"/>
        <w:ind w:firstLine="548" w:firstLineChars="196"/>
        <w:rPr>
          <w:rFonts w:hint="eastAsia" w:ascii="仿宋" w:hAnsi="仿宋" w:eastAsia="仿宋"/>
          <w:sz w:val="28"/>
          <w:szCs w:val="28"/>
          <w:lang w:val="zh-CN"/>
        </w:rPr>
      </w:pPr>
    </w:p>
    <w:tbl>
      <w:tblPr>
        <w:tblStyle w:val="9"/>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4678"/>
      </w:tblGrid>
      <w:tr w14:paraId="69C09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2C67DEBE">
            <w:pPr>
              <w:spacing w:line="440" w:lineRule="exact"/>
              <w:jc w:val="center"/>
              <w:rPr>
                <w:rFonts w:hint="eastAsia" w:ascii="仿宋" w:hAnsi="仿宋" w:eastAsia="仿宋"/>
              </w:rPr>
            </w:pPr>
            <w:r>
              <w:rPr>
                <w:rFonts w:hint="eastAsia" w:ascii="仿宋" w:hAnsi="仿宋" w:eastAsia="仿宋"/>
              </w:rPr>
              <w:t>甲  方</w:t>
            </w:r>
          </w:p>
        </w:tc>
        <w:tc>
          <w:tcPr>
            <w:tcW w:w="4678" w:type="dxa"/>
            <w:noWrap w:val="0"/>
            <w:vAlign w:val="top"/>
          </w:tcPr>
          <w:p w14:paraId="6282591B">
            <w:pPr>
              <w:spacing w:line="440" w:lineRule="exact"/>
              <w:jc w:val="center"/>
              <w:rPr>
                <w:rFonts w:hint="eastAsia" w:ascii="仿宋" w:hAnsi="仿宋" w:eastAsia="仿宋"/>
              </w:rPr>
            </w:pPr>
            <w:r>
              <w:rPr>
                <w:rFonts w:hint="eastAsia" w:ascii="仿宋" w:hAnsi="仿宋" w:eastAsia="仿宋"/>
              </w:rPr>
              <w:t>乙  方</w:t>
            </w:r>
          </w:p>
        </w:tc>
      </w:tr>
      <w:tr w14:paraId="0C84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center"/>
          </w:tcPr>
          <w:p w14:paraId="1FB2192D">
            <w:pPr>
              <w:spacing w:line="300" w:lineRule="exact"/>
              <w:jc w:val="center"/>
              <w:rPr>
                <w:rFonts w:hint="eastAsia" w:ascii="仿宋" w:hAnsi="仿宋" w:eastAsia="仿宋"/>
                <w:szCs w:val="21"/>
              </w:rPr>
            </w:pPr>
          </w:p>
          <w:p w14:paraId="2C2E7F6D">
            <w:pPr>
              <w:spacing w:line="300" w:lineRule="exact"/>
              <w:jc w:val="center"/>
              <w:rPr>
                <w:rFonts w:hint="eastAsia" w:ascii="仿宋" w:hAnsi="仿宋" w:eastAsia="仿宋"/>
                <w:szCs w:val="21"/>
              </w:rPr>
            </w:pPr>
          </w:p>
          <w:p w14:paraId="30091540">
            <w:pPr>
              <w:spacing w:line="300" w:lineRule="exact"/>
              <w:jc w:val="center"/>
              <w:rPr>
                <w:rFonts w:hint="eastAsia" w:ascii="仿宋" w:hAnsi="仿宋" w:eastAsia="仿宋"/>
                <w:szCs w:val="21"/>
              </w:rPr>
            </w:pPr>
            <w:r>
              <w:rPr>
                <w:rFonts w:hint="eastAsia" w:ascii="仿宋" w:hAnsi="仿宋" w:eastAsia="仿宋"/>
                <w:szCs w:val="21"/>
              </w:rPr>
              <w:t>采购人名称</w:t>
            </w:r>
          </w:p>
          <w:p w14:paraId="118CEC92">
            <w:pPr>
              <w:spacing w:line="300" w:lineRule="exact"/>
              <w:jc w:val="center"/>
              <w:rPr>
                <w:rFonts w:hint="eastAsia" w:ascii="仿宋" w:hAnsi="仿宋" w:eastAsia="仿宋"/>
                <w:szCs w:val="21"/>
              </w:rPr>
            </w:pPr>
            <w:r>
              <w:rPr>
                <w:rFonts w:hint="eastAsia" w:ascii="仿宋" w:hAnsi="仿宋" w:eastAsia="仿宋"/>
                <w:szCs w:val="21"/>
              </w:rPr>
              <w:t>（盖章）</w:t>
            </w:r>
          </w:p>
          <w:p w14:paraId="2744F174">
            <w:pPr>
              <w:spacing w:line="300" w:lineRule="exact"/>
              <w:jc w:val="center"/>
              <w:rPr>
                <w:rFonts w:hint="eastAsia" w:ascii="仿宋" w:hAnsi="仿宋" w:eastAsia="仿宋"/>
                <w:szCs w:val="21"/>
              </w:rPr>
            </w:pPr>
          </w:p>
          <w:p w14:paraId="7EDC4D96">
            <w:pPr>
              <w:spacing w:line="300" w:lineRule="exact"/>
              <w:jc w:val="center"/>
              <w:rPr>
                <w:rFonts w:hint="eastAsia" w:ascii="仿宋" w:hAnsi="仿宋" w:eastAsia="仿宋"/>
                <w:szCs w:val="21"/>
              </w:rPr>
            </w:pPr>
          </w:p>
        </w:tc>
        <w:tc>
          <w:tcPr>
            <w:tcW w:w="4678" w:type="dxa"/>
            <w:noWrap w:val="0"/>
            <w:vAlign w:val="center"/>
          </w:tcPr>
          <w:p w14:paraId="76DB7BF7">
            <w:pPr>
              <w:spacing w:line="300" w:lineRule="exact"/>
              <w:jc w:val="center"/>
              <w:rPr>
                <w:rFonts w:hint="eastAsia" w:ascii="仿宋" w:hAnsi="仿宋" w:eastAsia="仿宋"/>
                <w:szCs w:val="21"/>
              </w:rPr>
            </w:pPr>
          </w:p>
          <w:p w14:paraId="0C601189">
            <w:pPr>
              <w:spacing w:line="300" w:lineRule="exact"/>
              <w:jc w:val="center"/>
              <w:rPr>
                <w:rFonts w:hint="eastAsia" w:ascii="仿宋" w:hAnsi="仿宋" w:eastAsia="仿宋"/>
                <w:szCs w:val="21"/>
              </w:rPr>
            </w:pPr>
          </w:p>
          <w:p w14:paraId="08664C83">
            <w:pPr>
              <w:spacing w:line="300" w:lineRule="exact"/>
              <w:jc w:val="center"/>
              <w:rPr>
                <w:rFonts w:hint="eastAsia" w:ascii="仿宋" w:hAnsi="仿宋" w:eastAsia="仿宋"/>
                <w:szCs w:val="21"/>
              </w:rPr>
            </w:pPr>
            <w:r>
              <w:rPr>
                <w:rFonts w:hint="eastAsia" w:ascii="仿宋" w:hAnsi="仿宋" w:eastAsia="仿宋"/>
                <w:szCs w:val="21"/>
              </w:rPr>
              <w:t>中标供应商全称</w:t>
            </w:r>
          </w:p>
          <w:p w14:paraId="18F4D343">
            <w:pPr>
              <w:spacing w:line="300" w:lineRule="exact"/>
              <w:jc w:val="center"/>
              <w:rPr>
                <w:rFonts w:hint="eastAsia" w:ascii="仿宋" w:hAnsi="仿宋" w:eastAsia="仿宋"/>
                <w:szCs w:val="21"/>
              </w:rPr>
            </w:pPr>
            <w:r>
              <w:rPr>
                <w:rFonts w:hint="eastAsia" w:ascii="仿宋" w:hAnsi="仿宋" w:eastAsia="仿宋"/>
                <w:szCs w:val="21"/>
              </w:rPr>
              <w:t>（盖章）</w:t>
            </w:r>
          </w:p>
          <w:p w14:paraId="6CBDB80C">
            <w:pPr>
              <w:spacing w:line="300" w:lineRule="exact"/>
              <w:jc w:val="center"/>
              <w:rPr>
                <w:rFonts w:hint="eastAsia" w:ascii="仿宋" w:hAnsi="仿宋" w:eastAsia="仿宋"/>
                <w:szCs w:val="21"/>
              </w:rPr>
            </w:pPr>
          </w:p>
          <w:p w14:paraId="50C4C23E">
            <w:pPr>
              <w:spacing w:line="300" w:lineRule="exact"/>
              <w:jc w:val="center"/>
              <w:rPr>
                <w:rFonts w:hint="eastAsia" w:ascii="仿宋" w:hAnsi="仿宋" w:eastAsia="仿宋"/>
                <w:szCs w:val="21"/>
              </w:rPr>
            </w:pPr>
          </w:p>
        </w:tc>
      </w:tr>
      <w:tr w14:paraId="16CEC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206E5750">
            <w:pPr>
              <w:spacing w:line="440" w:lineRule="exact"/>
              <w:rPr>
                <w:rFonts w:hint="eastAsia" w:ascii="仿宋" w:hAnsi="仿宋" w:eastAsia="仿宋"/>
                <w:szCs w:val="21"/>
              </w:rPr>
            </w:pPr>
            <w:r>
              <w:rPr>
                <w:rFonts w:hint="eastAsia" w:ascii="仿宋" w:hAnsi="仿宋" w:eastAsia="仿宋"/>
                <w:szCs w:val="21"/>
              </w:rPr>
              <w:t xml:space="preserve">地址： </w:t>
            </w:r>
          </w:p>
          <w:p w14:paraId="176FC192">
            <w:pPr>
              <w:spacing w:line="440" w:lineRule="exact"/>
              <w:rPr>
                <w:rFonts w:hint="eastAsia" w:ascii="仿宋" w:hAnsi="仿宋" w:eastAsia="仿宋"/>
                <w:szCs w:val="21"/>
              </w:rPr>
            </w:pPr>
          </w:p>
        </w:tc>
        <w:tc>
          <w:tcPr>
            <w:tcW w:w="4678" w:type="dxa"/>
            <w:noWrap w:val="0"/>
            <w:vAlign w:val="top"/>
          </w:tcPr>
          <w:p w14:paraId="7C1E3107">
            <w:pPr>
              <w:spacing w:line="440" w:lineRule="exact"/>
              <w:rPr>
                <w:rFonts w:hint="eastAsia" w:ascii="仿宋" w:hAnsi="仿宋" w:eastAsia="仿宋"/>
                <w:szCs w:val="21"/>
              </w:rPr>
            </w:pPr>
            <w:r>
              <w:rPr>
                <w:rFonts w:hint="eastAsia" w:ascii="仿宋" w:hAnsi="仿宋" w:eastAsia="仿宋"/>
                <w:szCs w:val="21"/>
              </w:rPr>
              <w:t>地址：</w:t>
            </w:r>
          </w:p>
        </w:tc>
      </w:tr>
      <w:tr w14:paraId="414F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04DEA010">
            <w:pPr>
              <w:spacing w:line="440" w:lineRule="exact"/>
              <w:rPr>
                <w:rFonts w:hint="eastAsia" w:ascii="仿宋" w:hAnsi="仿宋" w:eastAsia="仿宋"/>
                <w:szCs w:val="21"/>
              </w:rPr>
            </w:pPr>
            <w:r>
              <w:rPr>
                <w:rFonts w:hint="eastAsia" w:ascii="仿宋" w:hAnsi="仿宋" w:eastAsia="仿宋"/>
                <w:szCs w:val="21"/>
              </w:rPr>
              <w:t>邮编：</w:t>
            </w:r>
          </w:p>
          <w:p w14:paraId="4582E00C">
            <w:pPr>
              <w:spacing w:line="440" w:lineRule="exact"/>
              <w:rPr>
                <w:rFonts w:hint="eastAsia" w:ascii="仿宋" w:hAnsi="仿宋" w:eastAsia="仿宋"/>
              </w:rPr>
            </w:pPr>
          </w:p>
        </w:tc>
        <w:tc>
          <w:tcPr>
            <w:tcW w:w="4678" w:type="dxa"/>
            <w:noWrap w:val="0"/>
            <w:vAlign w:val="top"/>
          </w:tcPr>
          <w:p w14:paraId="0614D423">
            <w:pPr>
              <w:spacing w:line="440" w:lineRule="exact"/>
              <w:rPr>
                <w:rFonts w:hint="eastAsia" w:ascii="仿宋" w:hAnsi="仿宋" w:eastAsia="仿宋"/>
              </w:rPr>
            </w:pPr>
            <w:r>
              <w:rPr>
                <w:rFonts w:hint="eastAsia" w:ascii="仿宋" w:hAnsi="仿宋" w:eastAsia="仿宋"/>
                <w:szCs w:val="21"/>
              </w:rPr>
              <w:t>邮编：</w:t>
            </w:r>
          </w:p>
        </w:tc>
      </w:tr>
      <w:tr w14:paraId="69E26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trPr>
        <w:tc>
          <w:tcPr>
            <w:tcW w:w="4644" w:type="dxa"/>
            <w:noWrap w:val="0"/>
            <w:vAlign w:val="top"/>
          </w:tcPr>
          <w:p w14:paraId="65D7A1F1">
            <w:pPr>
              <w:spacing w:line="440" w:lineRule="exact"/>
              <w:rPr>
                <w:rFonts w:hint="eastAsia" w:ascii="仿宋" w:hAnsi="仿宋" w:eastAsia="仿宋"/>
                <w:szCs w:val="21"/>
              </w:rPr>
            </w:pPr>
            <w:r>
              <w:rPr>
                <w:rFonts w:hint="eastAsia" w:ascii="仿宋" w:hAnsi="仿宋" w:eastAsia="仿宋"/>
                <w:szCs w:val="21"/>
              </w:rPr>
              <w:t xml:space="preserve">法定代表人： </w:t>
            </w:r>
          </w:p>
        </w:tc>
        <w:tc>
          <w:tcPr>
            <w:tcW w:w="4678" w:type="dxa"/>
            <w:noWrap w:val="0"/>
            <w:vAlign w:val="top"/>
          </w:tcPr>
          <w:p w14:paraId="31C80EBF">
            <w:pPr>
              <w:spacing w:line="440" w:lineRule="exact"/>
              <w:rPr>
                <w:rFonts w:hint="eastAsia" w:ascii="仿宋" w:hAnsi="仿宋" w:eastAsia="仿宋"/>
              </w:rPr>
            </w:pPr>
            <w:r>
              <w:rPr>
                <w:rFonts w:hint="eastAsia" w:ascii="仿宋" w:hAnsi="仿宋" w:eastAsia="仿宋"/>
                <w:szCs w:val="21"/>
              </w:rPr>
              <w:t>法定代表人：</w:t>
            </w:r>
          </w:p>
        </w:tc>
      </w:tr>
      <w:tr w14:paraId="4286E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4644" w:type="dxa"/>
            <w:noWrap w:val="0"/>
            <w:vAlign w:val="top"/>
          </w:tcPr>
          <w:p w14:paraId="0048AAD0">
            <w:pPr>
              <w:spacing w:line="440" w:lineRule="exact"/>
              <w:rPr>
                <w:rFonts w:hint="eastAsia" w:ascii="仿宋" w:hAnsi="仿宋" w:eastAsia="仿宋"/>
                <w:szCs w:val="21"/>
              </w:rPr>
            </w:pPr>
            <w:r>
              <w:rPr>
                <w:rFonts w:hint="eastAsia" w:ascii="仿宋" w:hAnsi="仿宋" w:eastAsia="仿宋"/>
                <w:szCs w:val="21"/>
              </w:rPr>
              <w:t>被授权代表：（签字）</w:t>
            </w:r>
          </w:p>
          <w:p w14:paraId="5373DD7F">
            <w:pPr>
              <w:spacing w:line="440" w:lineRule="exact"/>
              <w:rPr>
                <w:rFonts w:hint="eastAsia" w:ascii="仿宋" w:hAnsi="仿宋" w:eastAsia="仿宋"/>
              </w:rPr>
            </w:pPr>
          </w:p>
        </w:tc>
        <w:tc>
          <w:tcPr>
            <w:tcW w:w="4678" w:type="dxa"/>
            <w:noWrap w:val="0"/>
            <w:vAlign w:val="top"/>
          </w:tcPr>
          <w:p w14:paraId="4A4A2802">
            <w:pPr>
              <w:spacing w:line="440" w:lineRule="exact"/>
              <w:rPr>
                <w:rFonts w:hint="eastAsia" w:ascii="仿宋" w:hAnsi="仿宋" w:eastAsia="仿宋"/>
              </w:rPr>
            </w:pPr>
            <w:r>
              <w:rPr>
                <w:rFonts w:hint="eastAsia" w:ascii="仿宋" w:hAnsi="仿宋" w:eastAsia="仿宋"/>
                <w:szCs w:val="21"/>
              </w:rPr>
              <w:t>被授权代表：（签字）</w:t>
            </w:r>
          </w:p>
        </w:tc>
      </w:tr>
      <w:tr w14:paraId="731F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0D6A6FB8">
            <w:pPr>
              <w:spacing w:line="440" w:lineRule="exact"/>
              <w:rPr>
                <w:rFonts w:hint="eastAsia" w:ascii="仿宋" w:hAnsi="仿宋" w:eastAsia="仿宋"/>
                <w:szCs w:val="21"/>
              </w:rPr>
            </w:pPr>
            <w:r>
              <w:rPr>
                <w:rFonts w:hint="eastAsia" w:ascii="仿宋" w:hAnsi="仿宋" w:eastAsia="仿宋"/>
                <w:szCs w:val="21"/>
              </w:rPr>
              <w:t>电话：</w:t>
            </w:r>
          </w:p>
        </w:tc>
        <w:tc>
          <w:tcPr>
            <w:tcW w:w="4678" w:type="dxa"/>
            <w:noWrap w:val="0"/>
            <w:vAlign w:val="top"/>
          </w:tcPr>
          <w:p w14:paraId="544C4633">
            <w:pPr>
              <w:spacing w:line="440" w:lineRule="exact"/>
              <w:rPr>
                <w:rFonts w:hint="eastAsia" w:ascii="仿宋" w:hAnsi="仿宋" w:eastAsia="仿宋"/>
              </w:rPr>
            </w:pPr>
            <w:r>
              <w:rPr>
                <w:rFonts w:hint="eastAsia" w:ascii="仿宋" w:hAnsi="仿宋" w:eastAsia="仿宋"/>
                <w:szCs w:val="21"/>
              </w:rPr>
              <w:t>电话：</w:t>
            </w:r>
          </w:p>
        </w:tc>
      </w:tr>
      <w:tr w14:paraId="6C65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4815DB66">
            <w:pPr>
              <w:spacing w:line="440" w:lineRule="exact"/>
              <w:rPr>
                <w:rFonts w:hint="eastAsia" w:ascii="仿宋" w:hAnsi="仿宋" w:eastAsia="仿宋"/>
                <w:szCs w:val="21"/>
              </w:rPr>
            </w:pPr>
            <w:r>
              <w:rPr>
                <w:rFonts w:hint="eastAsia" w:ascii="仿宋" w:hAnsi="仿宋" w:eastAsia="仿宋"/>
                <w:szCs w:val="21"/>
              </w:rPr>
              <w:t>传真：</w:t>
            </w:r>
          </w:p>
        </w:tc>
        <w:tc>
          <w:tcPr>
            <w:tcW w:w="4678" w:type="dxa"/>
            <w:noWrap w:val="0"/>
            <w:vAlign w:val="top"/>
          </w:tcPr>
          <w:p w14:paraId="3D0CE8D2">
            <w:pPr>
              <w:spacing w:line="440" w:lineRule="exact"/>
              <w:rPr>
                <w:rFonts w:hint="eastAsia" w:ascii="仿宋" w:hAnsi="仿宋" w:eastAsia="仿宋"/>
              </w:rPr>
            </w:pPr>
            <w:r>
              <w:rPr>
                <w:rFonts w:hint="eastAsia" w:ascii="仿宋" w:hAnsi="仿宋" w:eastAsia="仿宋"/>
                <w:szCs w:val="21"/>
              </w:rPr>
              <w:t>传真：</w:t>
            </w:r>
          </w:p>
        </w:tc>
      </w:tr>
      <w:tr w14:paraId="1D7E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7099C8CB">
            <w:pPr>
              <w:spacing w:line="440" w:lineRule="exact"/>
              <w:rPr>
                <w:rFonts w:hint="eastAsia" w:ascii="仿宋" w:hAnsi="仿宋" w:eastAsia="仿宋"/>
              </w:rPr>
            </w:pPr>
          </w:p>
        </w:tc>
        <w:tc>
          <w:tcPr>
            <w:tcW w:w="4678" w:type="dxa"/>
            <w:noWrap w:val="0"/>
            <w:vAlign w:val="top"/>
          </w:tcPr>
          <w:p w14:paraId="3EA4D1E7">
            <w:pPr>
              <w:spacing w:line="440" w:lineRule="exact"/>
              <w:rPr>
                <w:rFonts w:hint="eastAsia" w:ascii="仿宋" w:hAnsi="仿宋" w:eastAsia="仿宋"/>
              </w:rPr>
            </w:pPr>
            <w:r>
              <w:rPr>
                <w:rFonts w:hint="eastAsia" w:ascii="仿宋" w:hAnsi="仿宋" w:eastAsia="仿宋"/>
                <w:szCs w:val="21"/>
              </w:rPr>
              <w:t>开户银行：</w:t>
            </w:r>
          </w:p>
        </w:tc>
      </w:tr>
      <w:tr w14:paraId="2E5EF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4644" w:type="dxa"/>
            <w:noWrap w:val="0"/>
            <w:vAlign w:val="top"/>
          </w:tcPr>
          <w:p w14:paraId="573DA40E">
            <w:pPr>
              <w:spacing w:line="440" w:lineRule="exact"/>
              <w:rPr>
                <w:rFonts w:hint="eastAsia" w:ascii="仿宋" w:hAnsi="仿宋" w:eastAsia="仿宋"/>
              </w:rPr>
            </w:pPr>
          </w:p>
        </w:tc>
        <w:tc>
          <w:tcPr>
            <w:tcW w:w="4678" w:type="dxa"/>
            <w:noWrap w:val="0"/>
            <w:vAlign w:val="top"/>
          </w:tcPr>
          <w:p w14:paraId="6429F067">
            <w:pPr>
              <w:spacing w:line="440" w:lineRule="exact"/>
              <w:rPr>
                <w:rFonts w:hint="eastAsia" w:ascii="仿宋" w:hAnsi="仿宋" w:eastAsia="仿宋"/>
                <w:szCs w:val="21"/>
              </w:rPr>
            </w:pPr>
            <w:r>
              <w:rPr>
                <w:rFonts w:hint="eastAsia" w:ascii="仿宋" w:hAnsi="仿宋" w:eastAsia="仿宋"/>
                <w:szCs w:val="21"/>
              </w:rPr>
              <w:t>帐号：</w:t>
            </w:r>
          </w:p>
        </w:tc>
      </w:tr>
      <w:tr w14:paraId="40101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06A8D360">
            <w:pPr>
              <w:spacing w:line="440" w:lineRule="exact"/>
              <w:rPr>
                <w:rFonts w:hint="eastAsia" w:ascii="仿宋" w:hAnsi="仿宋" w:eastAsia="仿宋"/>
                <w:szCs w:val="21"/>
              </w:rPr>
            </w:pPr>
            <w:r>
              <w:rPr>
                <w:rFonts w:hint="eastAsia" w:ascii="仿宋" w:hAnsi="仿宋" w:eastAsia="仿宋"/>
                <w:szCs w:val="21"/>
              </w:rPr>
              <w:t>日期：   年   月   日</w:t>
            </w:r>
          </w:p>
          <w:p w14:paraId="5120368A">
            <w:pPr>
              <w:spacing w:line="440" w:lineRule="exact"/>
              <w:rPr>
                <w:rFonts w:hint="eastAsia" w:ascii="仿宋" w:hAnsi="仿宋" w:eastAsia="仿宋"/>
              </w:rPr>
            </w:pPr>
          </w:p>
        </w:tc>
        <w:tc>
          <w:tcPr>
            <w:tcW w:w="4678" w:type="dxa"/>
            <w:noWrap w:val="0"/>
            <w:vAlign w:val="top"/>
          </w:tcPr>
          <w:p w14:paraId="340B22CE">
            <w:pPr>
              <w:spacing w:line="440" w:lineRule="exact"/>
              <w:rPr>
                <w:rFonts w:hint="eastAsia" w:ascii="仿宋" w:hAnsi="仿宋" w:eastAsia="仿宋"/>
              </w:rPr>
            </w:pPr>
            <w:r>
              <w:rPr>
                <w:rFonts w:hint="eastAsia" w:ascii="仿宋" w:hAnsi="仿宋" w:eastAsia="仿宋"/>
                <w:szCs w:val="21"/>
              </w:rPr>
              <w:t>日期：   年   月   日</w:t>
            </w:r>
          </w:p>
        </w:tc>
      </w:tr>
    </w:tbl>
    <w:p w14:paraId="6BF1286F">
      <w:pPr>
        <w:spacing w:line="500" w:lineRule="exact"/>
        <w:rPr>
          <w:rFonts w:ascii="仿宋_GB2312" w:hAnsi="仿宋_GB2312" w:eastAsia="仿宋_GB2312" w:cs="仿宋_GB2312"/>
          <w:b/>
          <w:sz w:val="36"/>
        </w:rPr>
      </w:pPr>
      <w:r>
        <w:rPr>
          <w:rFonts w:hint="eastAsia" w:ascii="仿宋" w:hAnsi="仿宋" w:eastAsia="仿宋"/>
          <w:sz w:val="42"/>
          <w:szCs w:val="42"/>
        </w:rPr>
        <w:t xml:space="preserve">   </w:t>
      </w:r>
      <w:r>
        <w:rPr>
          <w:rFonts w:hint="eastAsia" w:ascii="仿宋" w:hAnsi="仿宋" w:eastAsia="仿宋"/>
          <w:sz w:val="28"/>
          <w:szCs w:val="28"/>
          <w:lang w:val="zh-CN"/>
        </w:rPr>
        <w:t>备注：以上合同条款中，甲方为采购人，乙方为中标供应商。</w:t>
      </w:r>
    </w:p>
    <w:p w14:paraId="6DF6C887">
      <w:pPr>
        <w:pStyle w:val="11"/>
        <w:jc w:val="center"/>
        <w:outlineLvl w:val="1"/>
        <w:rPr>
          <w:rFonts w:ascii="仿宋_GB2312" w:hAnsi="仿宋_GB2312" w:eastAsia="仿宋_GB2312" w:cs="仿宋_GB2312"/>
          <w:b/>
          <w:sz w:val="36"/>
        </w:rPr>
      </w:pPr>
    </w:p>
    <w:p w14:paraId="4E2C8E38">
      <w:pPr>
        <w:pStyle w:val="11"/>
        <w:jc w:val="center"/>
        <w:outlineLvl w:val="1"/>
        <w:rPr>
          <w:rFonts w:ascii="仿宋_GB2312" w:hAnsi="仿宋_GB2312" w:eastAsia="仿宋_GB2312" w:cs="仿宋_GB2312"/>
          <w:b/>
          <w:sz w:val="36"/>
        </w:rPr>
      </w:pPr>
    </w:p>
    <w:p w14:paraId="59EA4E07"/>
    <w:p w14:paraId="2F886A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D99B2F"/>
    <w:multiLevelType w:val="singleLevel"/>
    <w:tmpl w:val="90D99B2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60589"/>
    <w:rsid w:val="021872CE"/>
    <w:rsid w:val="033755DF"/>
    <w:rsid w:val="03836A76"/>
    <w:rsid w:val="0433224A"/>
    <w:rsid w:val="048A4261"/>
    <w:rsid w:val="08477BEF"/>
    <w:rsid w:val="13021765"/>
    <w:rsid w:val="132D14F3"/>
    <w:rsid w:val="14157276"/>
    <w:rsid w:val="144349CA"/>
    <w:rsid w:val="170A508C"/>
    <w:rsid w:val="1A6C5716"/>
    <w:rsid w:val="1C5A616E"/>
    <w:rsid w:val="1FAF67D1"/>
    <w:rsid w:val="21957C48"/>
    <w:rsid w:val="22145011"/>
    <w:rsid w:val="22AC524A"/>
    <w:rsid w:val="236C49D9"/>
    <w:rsid w:val="24232784"/>
    <w:rsid w:val="247B3126"/>
    <w:rsid w:val="26B812BA"/>
    <w:rsid w:val="27A04C51"/>
    <w:rsid w:val="2AAB4039"/>
    <w:rsid w:val="2C197E7F"/>
    <w:rsid w:val="2C5A3F68"/>
    <w:rsid w:val="2D630BFB"/>
    <w:rsid w:val="2E4375F4"/>
    <w:rsid w:val="2EF37D5C"/>
    <w:rsid w:val="37C6115A"/>
    <w:rsid w:val="388859B9"/>
    <w:rsid w:val="39F350B4"/>
    <w:rsid w:val="3C834E15"/>
    <w:rsid w:val="448E25A9"/>
    <w:rsid w:val="463902F3"/>
    <w:rsid w:val="469A5F78"/>
    <w:rsid w:val="4A7638C4"/>
    <w:rsid w:val="4A8A55C1"/>
    <w:rsid w:val="4CAA5AA7"/>
    <w:rsid w:val="4DA8312E"/>
    <w:rsid w:val="4E516B22"/>
    <w:rsid w:val="500B77B1"/>
    <w:rsid w:val="52CD0741"/>
    <w:rsid w:val="5367649F"/>
    <w:rsid w:val="58164938"/>
    <w:rsid w:val="587F04F6"/>
    <w:rsid w:val="5C221AFD"/>
    <w:rsid w:val="61EB0BE3"/>
    <w:rsid w:val="621874A7"/>
    <w:rsid w:val="62D41677"/>
    <w:rsid w:val="64601415"/>
    <w:rsid w:val="65336B29"/>
    <w:rsid w:val="65B37C6A"/>
    <w:rsid w:val="65D35C16"/>
    <w:rsid w:val="6A114F5F"/>
    <w:rsid w:val="6C2F15A9"/>
    <w:rsid w:val="6CAB169B"/>
    <w:rsid w:val="6D2531FB"/>
    <w:rsid w:val="72E34E8B"/>
    <w:rsid w:val="77185B7F"/>
    <w:rsid w:val="77534E09"/>
    <w:rsid w:val="77E15F71"/>
    <w:rsid w:val="77FE4D75"/>
    <w:rsid w:val="7C372603"/>
    <w:rsid w:val="7CCD740C"/>
    <w:rsid w:val="7DF60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annotation text"/>
    <w:basedOn w:val="1"/>
    <w:qFormat/>
    <w:uiPriority w:val="0"/>
    <w:pPr>
      <w:jc w:val="left"/>
    </w:p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6"/>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7202</Words>
  <Characters>7335</Characters>
  <Lines>0</Lines>
  <Paragraphs>0</Paragraphs>
  <TotalTime>0</TotalTime>
  <ScaleCrop>false</ScaleCrop>
  <LinksUpToDate>false</LinksUpToDate>
  <CharactersWithSpaces>8037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2025-01-07T06:20:00Z</dcterms:created>
  <dc:creator>doit</dc:creator>
  <cp:lastModifiedBy>南柯一梦</cp:lastModifiedBy>
  <dcterms:modified xsi:type="dcterms:W3CDTF">2025-11-26T06:48:15Z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0F7C3DD00BCE46709845E9EE25F8E44F_13</vt:lpwstr>
  </property>
  <property fmtid="{D5CDD505-2E9C-101B-9397-08002B2CF9AE}" pid="4" name="KSOTemplateDocerSaveRecord">
    <vt:lpwstr>eyJoZGlkIjoiNDAwNzMzYzc2MWY0NDI5NDkyODRmODQ2YjhlYzI1ZWMiLCJ1c2VySWQiOiI1NDExODg2NzgifQ==</vt:lpwstr>
  </property>
</Properties>
</file>