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版本号：ZJTC2025-004020251113001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临渭高新区公共空间导视系统优化工程项目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ZJTC2025-0040</w:t>
      </w:r>
      <w:r>
        <w:br/>
      </w:r>
      <w:r>
        <w:br/>
      </w:r>
      <w:r>
        <w:br/>
      </w:r>
    </w:p>
    <w:p>
      <w:pPr>
        <w:pStyle w:val="null3"/>
        <w:jc w:val="center"/>
        <w:outlineLvl w:val="2"/>
      </w:pPr>
      <w:r>
        <w:rPr>
          <w:rFonts w:ascii="仿宋_GB2312" w:hAnsi="仿宋_GB2312" w:cs="仿宋_GB2312" w:eastAsia="仿宋_GB2312"/>
          <w:sz w:val="28"/>
          <w:b/>
        </w:rPr>
        <w:t>渭南市美好生活示范管理委员会</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渭南市美好生活示范管理委员会</w:t>
      </w:r>
      <w:r>
        <w:rPr>
          <w:rFonts w:ascii="仿宋_GB2312" w:hAnsi="仿宋_GB2312" w:cs="仿宋_GB2312" w:eastAsia="仿宋_GB2312"/>
        </w:rPr>
        <w:t>委托，拟对</w:t>
      </w:r>
      <w:r>
        <w:rPr>
          <w:rFonts w:ascii="仿宋_GB2312" w:hAnsi="仿宋_GB2312" w:cs="仿宋_GB2312" w:eastAsia="仿宋_GB2312"/>
        </w:rPr>
        <w:t>临渭高新区公共空间导视系统优化工程项目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临渭高新区公共空间导视系统优化工程项目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临渭高新区的不断发展，入驻企业和人流量日益增加，现有的标识系统已无法满足实际需求，存在标识陈旧、导向不清晰等问题，严重影响临渭高新区的对外形象和内部管理效率。为有效解决上述问题，提升园区服务品质与管理水平，对标识系统进行全面、规范、系统化的设计与安装势在必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采购包1（临渭高新区公共空间导视系统优化工程）：属于专门面向中小企业采购。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和税收缴纳证明以及社会保障资金证明、承诺、书面声明：（1）财务状况报告：2024年度的经审计的财务会计报告（成立时间至提交投标文件截止时间不足一年的可提供成立后任意时段的资产负债表），或其基本存款账户开户银行出具的资信证明及基本存款账户开户许可证（基本账户信息表）； （2）税收缴纳凭证：提供投标截止日近半年内任意一月的纳税凭据或完税证明，依法免税的应提供相关证明材料； （3）社会保障资金缴纳凭证：提供投标截止日近半年内任意一月的社会保障资金缴存单据或社保机构开具的社会保险参保缴费情况证明，依法不需要缴纳社会保障资金的应提供相关证明材料； （4）承诺：供应商须提供具有履行合同所必需的设备和专业技术能力的承诺； （5）供应商须提供参加政府采购活动前三年内，在经营活动中没有重大违法记录； 注：按照陕西省财政厅关于进一步优化政府采购营商环境有关事项的通知（陕财办采〔2023〕4号）中对供应商参与政府采购活动建立“承诺+信用管理”的准入管理制度要求，以上五项内容可根据本招标文件格式要求出具承诺函，成交供应商的承诺函同成交结果一并公示。</w:t>
      </w:r>
    </w:p>
    <w:p>
      <w:pPr>
        <w:pStyle w:val="null3"/>
      </w:pPr>
      <w:r>
        <w:rPr>
          <w:rFonts w:ascii="仿宋_GB2312" w:hAnsi="仿宋_GB2312" w:cs="仿宋_GB2312" w:eastAsia="仿宋_GB2312"/>
        </w:rPr>
        <w:t>3、授权委托书：法定代表人参加磋商的，提供法定代表人身份证复印件；法定代表人授权他人参加磋商的，提供法定代表人授权委托书（附法定代表人身份证复印件及被授权委托人身份证复印件）；</w:t>
      </w:r>
    </w:p>
    <w:p>
      <w:pPr>
        <w:pStyle w:val="null3"/>
      </w:pPr>
      <w:r>
        <w:rPr>
          <w:rFonts w:ascii="仿宋_GB2312" w:hAnsi="仿宋_GB2312" w:cs="仿宋_GB2312" w:eastAsia="仿宋_GB2312"/>
        </w:rPr>
        <w:t>4、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渭南市美好生活示范管理委员会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临渭区创新创业基地明光路5号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渭南市临渭区创新创业基地管理委员会经办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13892523250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代理服务费参照《国家计委关于印发&lt;招标代理服务收费管理暂行办法&gt;的通知》（计价格[2002]1980号）和（发改办价格[2003]857号）中的收费标准计取。 开户名称：陕西至简天成项目管理有限公司； 开户银行：456630100100048544； 账 号：兴业银行股份有限公司西安长安北路支行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渭南市美好生活示范管理委员会</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渭南市美好生活示范管理委员会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渭南市美好生活示范管理委员会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具体验收流程按照相关验收规定和合同内容开展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地址：陕西省西安市莲湖区土门十字西二环南段10号艺腾国际商务大厦503室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临渭高新区的不断发展，入驻企业和人流量日益增加，现有的标识系统已无法满足实际需求，存在标识陈旧、导向不清晰等问题，严重影响临渭高新区的对外形象和内部管理效率。为有效解决上述问题，提升园区服务品质与管理水平，对标识系统进行全面、规范、系统化的设计与安装势在必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临渭高新区公共空间导视系统优化工程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标的名称：临渭高新区公共空间导视系统优化工程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采购内容：</w:t>
            </w:r>
          </w:p>
          <w:p>
            <w:pPr>
              <w:pStyle w:val="null3"/>
              <w:ind w:firstLine="280"/>
              <w:jc w:val="both"/>
            </w:pPr>
            <w:r>
              <w:rPr>
                <w:rFonts w:ascii="仿宋_GB2312" w:hAnsi="仿宋_GB2312" w:cs="仿宋_GB2312" w:eastAsia="仿宋_GB2312"/>
                <w:sz w:val="28"/>
              </w:rPr>
              <w:t>（</w:t>
            </w:r>
            <w:r>
              <w:rPr>
                <w:rFonts w:ascii="仿宋_GB2312" w:hAnsi="仿宋_GB2312" w:cs="仿宋_GB2312" w:eastAsia="仿宋_GB2312"/>
                <w:sz w:val="28"/>
              </w:rPr>
              <w:t>1）统一设计：结合临渭高新区产业定位与发展愿景，设计具有区域特色、识别度高的标识系统整体方案（含视觉风格、色彩、字体、图形符号等）。</w:t>
            </w:r>
          </w:p>
          <w:p>
            <w:pPr>
              <w:pStyle w:val="null3"/>
              <w:ind w:firstLine="280"/>
              <w:jc w:val="both"/>
            </w:pPr>
            <w:r>
              <w:rPr>
                <w:rFonts w:ascii="仿宋_GB2312" w:hAnsi="仿宋_GB2312" w:cs="仿宋_GB2312" w:eastAsia="仿宋_GB2312"/>
                <w:sz w:val="28"/>
              </w:rPr>
              <w:t>（</w:t>
            </w:r>
            <w:r>
              <w:rPr>
                <w:rFonts w:ascii="仿宋_GB2312" w:hAnsi="仿宋_GB2312" w:cs="仿宋_GB2312" w:eastAsia="仿宋_GB2312"/>
                <w:sz w:val="28"/>
              </w:rPr>
              <w:t>2）制作与安装：涵盖道路指示标识、区域形象标识（如立体景观字）、功能场所标识等各类标识标牌的深化设计、选材（确保经久耐用、美观环保）、制作及专业安装施工。</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3）系统化覆盖：确保标识在主要出入口、交通节点、核心功能区、公共服务设施等关键位置合理布局，形成完整的导向网络。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技术要求：</w:t>
            </w:r>
          </w:p>
          <w:p>
            <w:pPr>
              <w:pStyle w:val="null3"/>
              <w:ind w:firstLine="560"/>
              <w:jc w:val="both"/>
            </w:pPr>
            <w:r>
              <w:rPr>
                <w:rFonts w:ascii="仿宋_GB2312" w:hAnsi="仿宋_GB2312" w:cs="仿宋_GB2312" w:eastAsia="仿宋_GB2312"/>
                <w:sz w:val="28"/>
              </w:rPr>
              <w:t>通过本次标识设计安装项目，将显著提升临渭高新区的整体形象和品牌价值，为企业和居民提供更加便捷、清晰的导向服务，增强高新区的吸引力和竞争力。同时，规范统一的标识系统也有助于提高区内的管理效率，促进区域的可持续发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rPr>
              <w:t>服务要求：</w:t>
            </w:r>
          </w:p>
          <w:p>
            <w:pPr>
              <w:pStyle w:val="null3"/>
              <w:ind w:firstLine="560"/>
              <w:jc w:val="both"/>
            </w:pPr>
            <w:r>
              <w:rPr>
                <w:rFonts w:ascii="仿宋_GB2312" w:hAnsi="仿宋_GB2312" w:cs="仿宋_GB2312" w:eastAsia="仿宋_GB2312"/>
                <w:sz w:val="28"/>
              </w:rPr>
              <w:t>负责临渭高新区单立柱画面的设计与安装工作，需确保画面内容符合区域整体形象定位，安装牢固且具备抗风、防晒等户外耐用性。</w:t>
            </w:r>
          </w:p>
          <w:p>
            <w:pPr>
              <w:pStyle w:val="null3"/>
              <w:ind w:firstLine="560"/>
              <w:jc w:val="both"/>
            </w:pPr>
            <w:r>
              <w:rPr>
                <w:rFonts w:ascii="仿宋_GB2312" w:hAnsi="仿宋_GB2312" w:cs="仿宋_GB2312" w:eastAsia="仿宋_GB2312"/>
                <w:sz w:val="28"/>
              </w:rPr>
              <w:t>完成临渭高新区形象落地景观字的设计与安装，需结合公共空间环境风格，保证造型美观、辨识度高，安装后与周边景观协调统一。</w:t>
            </w:r>
          </w:p>
          <w:p>
            <w:pPr>
              <w:pStyle w:val="null3"/>
              <w:ind w:firstLine="560"/>
              <w:jc w:val="both"/>
            </w:pPr>
            <w:r>
              <w:rPr>
                <w:rFonts w:ascii="仿宋_GB2312" w:hAnsi="仿宋_GB2312" w:cs="仿宋_GB2312" w:eastAsia="仿宋_GB2312"/>
                <w:sz w:val="28"/>
              </w:rPr>
              <w:t>实施临渭高新区人才公寓楼体立体字的设计与安装，需适配楼体建筑外观，确保字体尺寸、颜色与楼体风格匹配。</w:t>
            </w:r>
          </w:p>
          <w:p>
            <w:pPr>
              <w:pStyle w:val="null3"/>
              <w:ind w:firstLine="560"/>
              <w:jc w:val="both"/>
            </w:pPr>
            <w:r>
              <w:rPr>
                <w:rFonts w:ascii="仿宋_GB2312" w:hAnsi="仿宋_GB2312" w:cs="仿宋_GB2312" w:eastAsia="仿宋_GB2312"/>
                <w:sz w:val="28"/>
              </w:rPr>
              <w:t>进行临渭高新区新式路牌的安装作业，需严格按照交通导视规范要求，保证路牌位置合理、标识清晰，安装后符合道路通行导视功能需求。</w:t>
            </w:r>
          </w:p>
          <w:p>
            <w:pPr>
              <w:pStyle w:val="null3"/>
              <w:ind w:firstLine="560"/>
              <w:jc w:val="both"/>
            </w:pPr>
            <w:r>
              <w:rPr>
                <w:rFonts w:ascii="仿宋_GB2312" w:hAnsi="仿宋_GB2312" w:cs="仿宋_GB2312" w:eastAsia="仿宋_GB2312"/>
                <w:sz w:val="28"/>
              </w:rPr>
              <w:t>开展临渭高新区交通标识牌的安装工作，需遵循交通管理相关标准，确保标识牌内容准确、醒目，安装牢固且满足户外长期使用的防护要求。</w:t>
            </w:r>
          </w:p>
          <w:p>
            <w:pPr>
              <w:pStyle w:val="null3"/>
              <w:ind w:firstLine="560"/>
              <w:jc w:val="both"/>
            </w:pPr>
            <w:r>
              <w:rPr>
                <w:rFonts w:ascii="仿宋_GB2312" w:hAnsi="仿宋_GB2312" w:cs="仿宋_GB2312" w:eastAsia="仿宋_GB2312"/>
                <w:sz w:val="28"/>
              </w:rPr>
              <w:t>完成临渭高新区办公楼三项标识安装，具体包括办公楼广场落地景观字安装、办公楼楼顶发光字安装及办公楼入口处不锈钢门牌安装，需保证各类标识与办公楼建筑风格适配，功能与美观兼具。</w:t>
            </w:r>
          </w:p>
          <w:p>
            <w:pPr>
              <w:pStyle w:val="null3"/>
              <w:ind w:firstLine="560"/>
              <w:jc w:val="both"/>
            </w:pPr>
            <w:r>
              <w:rPr>
                <w:rFonts w:ascii="仿宋_GB2312" w:hAnsi="仿宋_GB2312" w:cs="仿宋_GB2312" w:eastAsia="仿宋_GB2312"/>
                <w:sz w:val="28"/>
              </w:rPr>
              <w:t>负责临渭高新区门楼改造工程，需结合区域整体风格规划，对门楼外观进行优化升级，改造后需提升区域辨识度与整体区域形象。</w:t>
            </w:r>
          </w:p>
          <w:p>
            <w:pPr>
              <w:pStyle w:val="null3"/>
              <w:ind w:firstLine="560"/>
              <w:jc w:val="both"/>
            </w:pPr>
            <w:r>
              <w:rPr>
                <w:rFonts w:ascii="仿宋_GB2312" w:hAnsi="仿宋_GB2312" w:cs="仿宋_GB2312" w:eastAsia="仿宋_GB2312"/>
                <w:sz w:val="28"/>
              </w:rPr>
              <w:t>完成临渭高新区企业园落地景观字的设计与安装，需结合公共空间环境风格，保证造型美观、辨识度高，安装后与周边景观协调统一。</w:t>
            </w:r>
          </w:p>
          <w:p>
            <w:pPr>
              <w:pStyle w:val="null3"/>
              <w:ind w:firstLine="560"/>
              <w:jc w:val="both"/>
            </w:pPr>
            <w:r>
              <w:rPr>
                <w:rFonts w:ascii="仿宋_GB2312" w:hAnsi="仿宋_GB2312" w:cs="仿宋_GB2312" w:eastAsia="仿宋_GB2312"/>
                <w:sz w:val="28"/>
              </w:rPr>
              <w:t>实施临渭高新区企业园户外围挡及宣传画面的安装，需确保围挡结构稳固，宣传画面内容符合企业园定位，安装后具备防护与宣传双重功能。</w:t>
            </w:r>
          </w:p>
          <w:p>
            <w:pPr>
              <w:pStyle w:val="null3"/>
              <w:ind w:firstLine="560"/>
              <w:jc w:val="both"/>
            </w:pPr>
            <w:r>
              <w:rPr>
                <w:rFonts w:ascii="仿宋_GB2312" w:hAnsi="仿宋_GB2312" w:cs="仿宋_GB2312" w:eastAsia="仿宋_GB2312"/>
                <w:sz w:val="28"/>
              </w:rPr>
              <w:t>完成临渭高新区企业园办公楼三项标识与文化建设工作，具体为办公楼广场钛金字安装、办公楼楼顶发光字安装及办公楼一楼文化墙设计与安装，需保证标识清晰实用、文化墙内容贴合企业园文化定位，整体与办公楼环境协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临渭高新技术产业开发区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具体验收流程按照相关验收规定和合同内容开展。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合同签订后，支付一部分合同价款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全部项目完成交付并验收合格后，支付合同余款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财务状况报告和税收缴纳证明以及社会保障资金证明、承诺、书面声明</w:t>
            </w:r>
          </w:p>
        </w:tc>
        <w:tc>
          <w:tcPr>
            <w:tcW w:type="dxa" w:w="3322"/>
          </w:tcPr>
          <w:p>
            <w:pPr>
              <w:pStyle w:val="null3"/>
            </w:pPr>
            <w:r>
              <w:rPr>
                <w:rFonts w:ascii="仿宋_GB2312" w:hAnsi="仿宋_GB2312" w:cs="仿宋_GB2312" w:eastAsia="仿宋_GB2312"/>
              </w:rPr>
              <w:t>（1）财务状况报告：2024年度的经审计的财务会计报告（成立时间至提交投标文件截止时间不足一年的可提供成立后任意时段的资产负债表），或其基本存款账户开户银行出具的资信证明及基本存款账户开户许可证（基本账户信息表）； （2）税收缴纳凭证：提供投标截止日近半年内任意一月的纳税凭据或完税证明，依法免税的应提供相关证明材料； （3）社会保障资金缴纳凭证：提供投标截止日近半年内任意一月的社会保障资金缴存单据或社保机构开具的社会保险参保缴费情况证明，依法不需要缴纳社会保障资金的应提供相关证明材料； （4）承诺：供应商须提供具有履行合同所必需的设备和专业技术能力的承诺； （5）供应商须提供参加政府采购活动前三年内，在经营活动中没有重大违法记录； 注：按照陕西省财政厅关于进一步优化政府采购营商环境有关事项的通知（陕财办采〔2023〕4号）中对供应商参与政府采购活动建立“承诺+信用管理”的准入管理制度要求，以上五项内容可根据本招标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法定代表人参加磋商的，提供法定代表人身份证复印件；法定代表人授权他人参加磋商的，提供法定代表人授权委托书（附法定代表人身份证复印件及被授权委托人身份证复印件）；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对本项目理解及分析方案：①项目背景分析；②项目发展条件分析；③项目总体实施规划。方案详细，清晰有利于项目的得满分。(如有缺陷或不足在此分数基础上进行扣分)，以上3项中：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总体设计方案，①现状分析；②设计理念；③设计思路；④设计工作计划；⑤进度时间安排。方案详细，清晰有利于项目的得满分。(如有缺陷或不足在此分数基础上进行扣分)，以上5项中：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工作内容概述</w:t>
            </w:r>
          </w:p>
        </w:tc>
        <w:tc>
          <w:tcPr>
            <w:tcW w:type="dxa" w:w="2492"/>
          </w:tcPr>
          <w:p>
            <w:pPr>
              <w:pStyle w:val="null3"/>
            </w:pPr>
            <w:r>
              <w:rPr>
                <w:rFonts w:ascii="仿宋_GB2312" w:hAnsi="仿宋_GB2312" w:cs="仿宋_GB2312" w:eastAsia="仿宋_GB2312"/>
              </w:rPr>
              <w:t>对本项目服务工作方案，①工作流程；②管理制度；③工作计划；④突发事件应急预案；⑤保密措施。方案详细，清晰有利于项目的得满分。(如有缺陷或不足在此分数基础上进行扣分)，以上5项中：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重、难点及关键过程分析</w:t>
            </w:r>
          </w:p>
        </w:tc>
        <w:tc>
          <w:tcPr>
            <w:tcW w:type="dxa" w:w="2492"/>
          </w:tcPr>
          <w:p>
            <w:pPr>
              <w:pStyle w:val="null3"/>
            </w:pPr>
            <w:r>
              <w:rPr>
                <w:rFonts w:ascii="仿宋_GB2312" w:hAnsi="仿宋_GB2312" w:cs="仿宋_GB2312" w:eastAsia="仿宋_GB2312"/>
              </w:rPr>
              <w:t>①项目实施重点；②项目实施难点；③项目实施关键过程分析。方案详细，清晰有利于项目的得满分。(如有缺陷或不足在此分数基础上进行扣分)，以上3项中：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按照项目工作计划安排对应进度保证措施：①进度计划；②人员保障措施；③设备保障措施。措施详细，清晰有利于项目的得满分。(如有缺陷或不足在此分数基础上进行扣分)，以上3项中：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根据项目质量保证，①质量目标；②质量保证原则；③内部质量审核制度；④质量保证的其他措施。措施详细，清晰有利于项目的得满分。(如有缺陷或不足在此分数基础上进行扣分)，以上4项中： （1）每有1项缺失或完全无法满足项目需求的扣3分；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根据供应商的团队人员配备情况进行评审： ①团队组织架构、人员构成及分工合理，岗位设置明确，责任制度严谨、规范，工作人员经验丰富，得5分； ②团队组织架构、人员构成及分工较为合理，岗位设置比较明确，责任制度较为严谨、规范，工作人员经验比较丰富，得3分； ③团队组织架构、人员构成及分工不够合理，岗位设置不够明确，责任制度不够严谨、规范，工作人员经验较少，得2分； ④未提供或其他不得分。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供应商针对本项目提供服务承诺，根据服务单位的实际情况，结合供应商自身实力，作出其他有利于本项目及采购人的承诺，（1）缺失或完全无法满足项目需求的扣5分；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针对本项目的合理化建议，（1）缺失或完全无法满足项目需求的扣5分； （2）每有1项中内容存在缺陷或不足扣1.5分； （3）每有 1 项总体内容完备但存在部分瑕疵之处扣0.5分。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须提供近三年(自2022年01月1日至投标截止时间)类似业绩，以供应商提供的合同或中标（成交）通知书复印件（或扫描件）为准（日期以合同签订时间或中标（成交）通知书时间为准），每提供一份得2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满足磋商文件要求且响应价格最低的响应报价为评标基准价，其价格分为满分。其他供应商的价格分统一按照下列公式计算： 响应报价得分=(评标基准价／响应报价)×价格权值×100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