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版本号：LWQZFCG2025-01720251105001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临渭区中小学智慧黑板采购项目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LWQZFCG2025-017</w:t>
      </w:r>
      <w:r>
        <w:br/>
      </w:r>
      <w:r>
        <w:br/>
      </w:r>
      <w:r>
        <w:br/>
      </w:r>
    </w:p>
    <w:p>
      <w:pPr>
        <w:pStyle w:val="null3"/>
        <w:jc w:val="center"/>
        <w:outlineLvl w:val="2"/>
      </w:pPr>
      <w:r>
        <w:rPr>
          <w:rFonts w:ascii="仿宋_GB2312" w:hAnsi="仿宋_GB2312" w:cs="仿宋_GB2312" w:eastAsia="仿宋_GB2312"/>
          <w:sz w:val="28"/>
          <w:b/>
        </w:rPr>
        <w:t>渭南市临渭区教育体育局</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渭南市临渭区教育体育局</w:t>
      </w:r>
      <w:r>
        <w:rPr>
          <w:rFonts w:ascii="仿宋_GB2312" w:hAnsi="仿宋_GB2312" w:cs="仿宋_GB2312" w:eastAsia="仿宋_GB2312"/>
        </w:rPr>
        <w:t>委托，拟对</w:t>
      </w:r>
      <w:r>
        <w:rPr>
          <w:rFonts w:ascii="仿宋_GB2312" w:hAnsi="仿宋_GB2312" w:cs="仿宋_GB2312" w:eastAsia="仿宋_GB2312"/>
        </w:rPr>
        <w:t>临渭区中小学智慧黑板采购项目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LWQZFCG2025-017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临渭区中小学智慧黑板采购项目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提高教学质量，保障教育教学工作正常进行，满足学生学习及教师教学需求。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2、法定代表人授权委托书：供应商应授权合法的人员参加投标全过程，其中法定代表人直接参加投标的，须提供法定代表人身份证明书。法定代表人授权代表参加投标的，须提供法定代表人授权书。</w:t>
      </w:r>
    </w:p>
    <w:p>
      <w:pPr>
        <w:pStyle w:val="null3"/>
      </w:pPr>
      <w:r>
        <w:rPr>
          <w:rFonts w:ascii="仿宋_GB2312" w:hAnsi="仿宋_GB2312" w:cs="仿宋_GB2312" w:eastAsia="仿宋_GB2312"/>
        </w:rPr>
        <w:t>3、税收及社保缴纳证明：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审计报告或资信证明：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5、合同书面声明及承诺：提供具有履行合同所必需的设备和专业技术能力的承诺。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信息：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p>
      <w:pPr>
        <w:pStyle w:val="null3"/>
      </w:pPr>
      <w:r>
        <w:rPr>
          <w:rFonts w:ascii="仿宋_GB2312" w:hAnsi="仿宋_GB2312" w:cs="仿宋_GB2312" w:eastAsia="仿宋_GB2312"/>
        </w:rPr>
        <w:t>8、无控股、管理关系承诺：单位负责人为同一人或者存在直接控股、管理关系的不同供应商，不得参加同一合同项下的政府采购活动。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渭南市西四路南段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渭南市临渭区教育体育局经办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18191927687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渭南市临渭区财政局乐天大街123号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渭南市临渭区教育体育局</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符合相关验收标准及招标文件要求。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联系人：临渭区政府采购中心</w:t>
      </w:r>
    </w:p>
    <w:p>
      <w:pPr>
        <w:pStyle w:val="null3"/>
      </w:pPr>
      <w:r>
        <w:rPr>
          <w:rFonts w:ascii="仿宋_GB2312" w:hAnsi="仿宋_GB2312" w:cs="仿宋_GB2312" w:eastAsia="仿宋_GB2312"/>
        </w:rPr>
        <w:t>联系电话：0913-2130883</w:t>
      </w:r>
    </w:p>
    <w:p>
      <w:pPr>
        <w:pStyle w:val="null3"/>
      </w:pPr>
      <w:r>
        <w:rPr>
          <w:rFonts w:ascii="仿宋_GB2312" w:hAnsi="仿宋_GB2312" w:cs="仿宋_GB2312" w:eastAsia="仿宋_GB2312"/>
        </w:rPr>
        <w:t>地址：渭南市临渭区财政局乐天大街123号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提高教学质量，保障教育教学工作正常进行，满足学生学习及教师教学需求。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临渭区中小学智慧黑板采购项目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标的名称：临渭区中小学智慧黑板采购项目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1"/>
            </w:pPr>
            <w:r>
              <w:rPr>
                <w:rFonts w:ascii="仿宋_GB2312" w:hAnsi="仿宋_GB2312" w:cs="仿宋_GB2312" w:eastAsia="仿宋_GB2312"/>
                <w:sz w:val="24"/>
                <w:b/>
              </w:rPr>
              <w:t>多功能教学智慧黑板</w:t>
            </w:r>
            <w:r>
              <w:rPr>
                <w:rFonts w:ascii="仿宋_GB2312" w:hAnsi="仿宋_GB2312" w:cs="仿宋_GB2312" w:eastAsia="仿宋_GB2312"/>
                <w:sz w:val="24"/>
                <w:b/>
              </w:rPr>
              <w:t>34台。</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1）整体设计</w:t>
            </w:r>
          </w:p>
          <w:p>
            <w:pPr>
              <w:pStyle w:val="null3"/>
              <w:ind w:firstLine="480"/>
              <w:jc w:val="both"/>
            </w:pPr>
            <w:r>
              <w:rPr>
                <w:rFonts w:ascii="仿宋_GB2312" w:hAnsi="仿宋_GB2312" w:cs="仿宋_GB2312" w:eastAsia="仿宋_GB2312"/>
                <w:sz w:val="24"/>
              </w:rPr>
              <w:t>1.整机屏幕采用不小于86英寸超高清LED 液晶屏，显示比例16:9，屏幕分辨率不低于3840*2160。</w:t>
            </w:r>
          </w:p>
          <w:p>
            <w:pPr>
              <w:pStyle w:val="null3"/>
              <w:ind w:firstLine="480"/>
              <w:jc w:val="both"/>
            </w:pPr>
            <w:r>
              <w:rPr>
                <w:rFonts w:ascii="仿宋_GB2312" w:hAnsi="仿宋_GB2312" w:cs="仿宋_GB2312" w:eastAsia="仿宋_GB2312"/>
                <w:sz w:val="24"/>
              </w:rPr>
              <w:t>2.整机尺寸宽度不小于4200mm，高度不小于1200mm。</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1"/>
                <w:color w:val="000000"/>
              </w:rPr>
              <w:t>▲</w:t>
            </w:r>
            <w:r>
              <w:rPr>
                <w:rFonts w:ascii="仿宋_GB2312" w:hAnsi="仿宋_GB2312" w:cs="仿宋_GB2312" w:eastAsia="仿宋_GB2312"/>
                <w:sz w:val="24"/>
              </w:rPr>
              <w:t>整机内置芯片具备</w:t>
            </w:r>
            <w:r>
              <w:rPr>
                <w:rFonts w:ascii="仿宋_GB2312" w:hAnsi="仿宋_GB2312" w:cs="仿宋_GB2312" w:eastAsia="仿宋_GB2312"/>
                <w:sz w:val="24"/>
              </w:rPr>
              <w:t>AI算力，用于AI图像、音频处理。提供生产厂家确认的、相应的功能证明材料，加盖公章。</w:t>
            </w:r>
          </w:p>
          <w:p>
            <w:pPr>
              <w:pStyle w:val="null3"/>
              <w:ind w:firstLine="480"/>
              <w:jc w:val="both"/>
            </w:pPr>
            <w:r>
              <w:rPr>
                <w:rFonts w:ascii="仿宋_GB2312" w:hAnsi="仿宋_GB2312" w:cs="仿宋_GB2312" w:eastAsia="仿宋_GB2312"/>
                <w:sz w:val="24"/>
              </w:rPr>
              <w:t>4.屏幕显示灰度分辨等级达到256灰阶以上。</w:t>
            </w:r>
          </w:p>
          <w:p>
            <w:pPr>
              <w:pStyle w:val="null3"/>
              <w:ind w:firstLine="480"/>
              <w:jc w:val="both"/>
            </w:pPr>
            <w:r>
              <w:rPr>
                <w:rFonts w:ascii="仿宋_GB2312" w:hAnsi="仿宋_GB2312" w:cs="仿宋_GB2312" w:eastAsia="仿宋_GB2312"/>
                <w:sz w:val="24"/>
              </w:rPr>
              <w:t>5.设备支持通过前置物理按键一键启动录屏功能，可将屏幕中显示的所有内容与老师人声同时录制。</w:t>
            </w:r>
          </w:p>
          <w:p>
            <w:pPr>
              <w:pStyle w:val="null3"/>
              <w:ind w:firstLine="480"/>
              <w:jc w:val="both"/>
            </w:pPr>
            <w:r>
              <w:rPr>
                <w:rFonts w:ascii="仿宋_GB2312" w:hAnsi="仿宋_GB2312" w:cs="仿宋_GB2312" w:eastAsia="仿宋_GB2312"/>
                <w:sz w:val="24"/>
              </w:rPr>
              <w:t>6.内置音箱总功率不低于60W，采用缝隙发声技术。</w:t>
            </w:r>
          </w:p>
          <w:p>
            <w:pPr>
              <w:pStyle w:val="null3"/>
              <w:ind w:firstLine="480"/>
              <w:jc w:val="both"/>
            </w:pPr>
            <w:r>
              <w:rPr>
                <w:rFonts w:ascii="仿宋_GB2312" w:hAnsi="仿宋_GB2312" w:cs="仿宋_GB2312" w:eastAsia="仿宋_GB2312"/>
                <w:sz w:val="24"/>
              </w:rPr>
              <w:t>7.整机具备不少于2路前置双系统USB3.0接口。</w:t>
            </w:r>
          </w:p>
          <w:p>
            <w:pPr>
              <w:pStyle w:val="null3"/>
              <w:ind w:firstLine="480"/>
              <w:jc w:val="both"/>
            </w:pPr>
            <w:r>
              <w:rPr>
                <w:rFonts w:ascii="仿宋_GB2312" w:hAnsi="仿宋_GB2312" w:cs="仿宋_GB2312" w:eastAsia="仿宋_GB2312"/>
                <w:sz w:val="24"/>
              </w:rPr>
              <w:t>8.整机具备不少于1路前置Typec接口。</w:t>
            </w:r>
          </w:p>
          <w:p>
            <w:pPr>
              <w:pStyle w:val="null3"/>
              <w:ind w:firstLine="480"/>
              <w:jc w:val="both"/>
            </w:pPr>
            <w:r>
              <w:rPr>
                <w:rFonts w:ascii="仿宋_GB2312" w:hAnsi="仿宋_GB2312" w:cs="仿宋_GB2312" w:eastAsia="仿宋_GB2312"/>
                <w:sz w:val="24"/>
              </w:rPr>
              <w:t>9.电源键为三合一按键，可实现开机、关机、待机三种功能，方便老师操作设备。</w:t>
            </w:r>
          </w:p>
          <w:p>
            <w:pPr>
              <w:pStyle w:val="null3"/>
              <w:ind w:firstLine="480"/>
              <w:jc w:val="both"/>
            </w:pPr>
            <w:r>
              <w:rPr>
                <w:rFonts w:ascii="仿宋_GB2312" w:hAnsi="仿宋_GB2312" w:cs="仿宋_GB2312" w:eastAsia="仿宋_GB2312"/>
                <w:sz w:val="24"/>
              </w:rPr>
              <w:t>10.整机具备减滤蓝光功能，可通过前置物理功能按键一键启用减滤蓝光模式，有效减少蓝光对学生危害。</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2）整机功能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1"/>
                <w:color w:val="000000"/>
              </w:rPr>
              <w:t>▲</w:t>
            </w:r>
            <w:r>
              <w:rPr>
                <w:rFonts w:ascii="仿宋_GB2312" w:hAnsi="仿宋_GB2312" w:cs="仿宋_GB2312" w:eastAsia="仿宋_GB2312"/>
                <w:sz w:val="24"/>
              </w:rPr>
              <w:t>整机内置非独立广角高清摄像头，摄像头像素不低于</w:t>
            </w:r>
            <w:r>
              <w:rPr>
                <w:rFonts w:ascii="仿宋_GB2312" w:hAnsi="仿宋_GB2312" w:cs="仿宋_GB2312" w:eastAsia="仿宋_GB2312"/>
                <w:sz w:val="24"/>
              </w:rPr>
              <w:t>5000W。提供生产厂家确认的、相应的功能证明材料，加盖公章。</w:t>
            </w:r>
          </w:p>
          <w:p>
            <w:pPr>
              <w:pStyle w:val="null3"/>
              <w:ind w:firstLine="480"/>
              <w:jc w:val="both"/>
            </w:pPr>
            <w:r>
              <w:rPr>
                <w:rFonts w:ascii="仿宋_GB2312" w:hAnsi="仿宋_GB2312" w:cs="仿宋_GB2312" w:eastAsia="仿宋_GB2312"/>
                <w:sz w:val="24"/>
              </w:rPr>
              <w:t>2.支持纸质护眼模式，在任意通道任意画面任意软件所在显示内容下可实时调整画面纹理，如素描纸、宣纸、水彩纸等；同时支持透明度调节。</w:t>
            </w:r>
          </w:p>
          <w:p>
            <w:pPr>
              <w:pStyle w:val="null3"/>
              <w:ind w:firstLine="480"/>
              <w:jc w:val="both"/>
            </w:pPr>
            <w:r>
              <w:rPr>
                <w:rFonts w:ascii="仿宋_GB2312" w:hAnsi="仿宋_GB2312" w:cs="仿宋_GB2312" w:eastAsia="仿宋_GB2312"/>
                <w:sz w:val="24"/>
              </w:rPr>
              <w:t>3.整机支持蓝牙Bluetooth 5.4或以上标准。</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3）电脑配置</w:t>
            </w:r>
          </w:p>
          <w:p>
            <w:pPr>
              <w:pStyle w:val="null3"/>
              <w:ind w:firstLine="480"/>
              <w:jc w:val="both"/>
            </w:pPr>
            <w:r>
              <w:rPr>
                <w:rFonts w:ascii="仿宋_GB2312" w:hAnsi="仿宋_GB2312" w:cs="仿宋_GB2312" w:eastAsia="仿宋_GB2312"/>
                <w:sz w:val="24"/>
              </w:rPr>
              <w:t>1.搭载国产化 CPU 芯片，主频≥2.6G，四核心及以上;内存≥8GB DDR4；硬盘≥256GB SSD 固态硬盘。预装正版国产化操作系统，终身免费使用。</w:t>
            </w:r>
          </w:p>
          <w:p>
            <w:pPr>
              <w:pStyle w:val="null3"/>
              <w:ind w:firstLine="480"/>
              <w:jc w:val="both"/>
            </w:pPr>
            <w:r>
              <w:rPr>
                <w:rFonts w:ascii="仿宋_GB2312" w:hAnsi="仿宋_GB2312" w:cs="仿宋_GB2312" w:eastAsia="仿宋_GB2312"/>
                <w:sz w:val="24"/>
              </w:rPr>
              <w:t>2.PC 模块可抽拉式插入整机，可实现无单独接线的插拔，无需工具就可快速拆卸电脑模块。</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4）白板软件</w:t>
            </w:r>
          </w:p>
          <w:p>
            <w:pPr>
              <w:pStyle w:val="null3"/>
              <w:ind w:firstLine="480"/>
              <w:jc w:val="both"/>
            </w:pPr>
            <w:r>
              <w:rPr>
                <w:rFonts w:ascii="仿宋_GB2312" w:hAnsi="仿宋_GB2312" w:cs="仿宋_GB2312" w:eastAsia="仿宋_GB2312"/>
                <w:sz w:val="24"/>
              </w:rPr>
              <w:t>1．备授课一体化，具有备课模式及授课模式，且操作界面根据备课和授课使用场景不同而区别设计，符合用户使用需求。</w:t>
            </w:r>
          </w:p>
          <w:p>
            <w:pPr>
              <w:pStyle w:val="null3"/>
              <w:ind w:firstLine="480"/>
              <w:jc w:val="both"/>
            </w:pPr>
            <w:r>
              <w:rPr>
                <w:rFonts w:ascii="仿宋_GB2312" w:hAnsi="仿宋_GB2312" w:cs="仿宋_GB2312" w:eastAsia="仿宋_GB2312"/>
                <w:sz w:val="24"/>
              </w:rPr>
              <w:t>2．支持个人账号注册登录使用，也可通过USB key进行身份快速识别登录，还可以通过微信绑定账号后扫码，形成一体的信息化教学账号体系；根据教师账号信息将教师云空间匹配至对应学校、学科校本资源。</w:t>
            </w:r>
          </w:p>
          <w:p>
            <w:pPr>
              <w:pStyle w:val="null3"/>
              <w:ind w:firstLine="480"/>
              <w:jc w:val="both"/>
            </w:pPr>
            <w:r>
              <w:rPr>
                <w:rFonts w:ascii="仿宋_GB2312" w:hAnsi="仿宋_GB2312" w:cs="仿宋_GB2312" w:eastAsia="仿宋_GB2312"/>
                <w:sz w:val="24"/>
              </w:rPr>
              <w:t>3．提供白板软件手机移动版，方便用户随时随地查看课件。</w:t>
            </w:r>
          </w:p>
          <w:p>
            <w:pPr>
              <w:pStyle w:val="null3"/>
              <w:ind w:firstLine="480"/>
              <w:jc w:val="both"/>
            </w:pPr>
            <w:r>
              <w:rPr>
                <w:rFonts w:ascii="仿宋_GB2312" w:hAnsi="仿宋_GB2312" w:cs="仿宋_GB2312" w:eastAsia="仿宋_GB2312"/>
                <w:sz w:val="24"/>
              </w:rPr>
              <w:t>4．互动教学课件支持分享至学校校本资源库，学段学科根据教师个人信息自动匹配，分享后课件全校教师可见，并可直接下载使用。校本资源库支持按学科、学段进行快速查找，同时支持关键词精准检索。</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1"/>
                <w:color w:val="000000"/>
              </w:rPr>
              <w:t>▲</w:t>
            </w:r>
            <w:r>
              <w:rPr>
                <w:rFonts w:ascii="仿宋_GB2312" w:hAnsi="仿宋_GB2312" w:cs="仿宋_GB2312" w:eastAsia="仿宋_GB2312"/>
                <w:sz w:val="24"/>
              </w:rPr>
              <w:t>为老师提供可扩展，易于学校管理，安全可靠的云存储空间，根据教师使用时长与教学资料制作频率提供可扩展升级至不小于</w:t>
            </w:r>
            <w:r>
              <w:rPr>
                <w:rFonts w:ascii="仿宋_GB2312" w:hAnsi="仿宋_GB2312" w:cs="仿宋_GB2312" w:eastAsia="仿宋_GB2312"/>
                <w:sz w:val="24"/>
              </w:rPr>
              <w:t>10T的个人云空间。提供生产厂家确认的、相应的功能证明材料，加盖公章。</w:t>
            </w:r>
          </w:p>
          <w:p>
            <w:pPr>
              <w:pStyle w:val="null3"/>
              <w:ind w:firstLine="480"/>
              <w:jc w:val="both"/>
            </w:pPr>
            <w:r>
              <w:rPr>
                <w:rFonts w:ascii="仿宋_GB2312" w:hAnsi="仿宋_GB2312" w:cs="仿宋_GB2312" w:eastAsia="仿宋_GB2312"/>
                <w:sz w:val="24"/>
              </w:rPr>
              <w:t>6．互动教学课件支持开放式云分享：分享者可将互动课件、课件组以公开或加密的web链接和二维码形式进行分享，分享链接可设置访问有效期。</w:t>
            </w:r>
          </w:p>
          <w:p>
            <w:pPr>
              <w:pStyle w:val="null3"/>
              <w:ind w:firstLine="480"/>
              <w:jc w:val="both"/>
            </w:pPr>
            <w:r>
              <w:rPr>
                <w:rFonts w:ascii="仿宋_GB2312" w:hAnsi="仿宋_GB2312" w:cs="仿宋_GB2312" w:eastAsia="仿宋_GB2312"/>
                <w:sz w:val="24"/>
              </w:rPr>
              <w:t xml:space="preserve">7．备授课平台对接教学数据管理平台，可将教学平台的教案关联至教师课件，支持课件同时关联多份教案，关联后教师可在备课界面调用查看教案，便于教研工作开展。     </w:t>
            </w:r>
          </w:p>
          <w:p>
            <w:pPr>
              <w:pStyle w:val="null3"/>
              <w:ind w:firstLine="480"/>
              <w:jc w:val="both"/>
            </w:pPr>
            <w:r>
              <w:rPr>
                <w:rFonts w:ascii="仿宋_GB2312" w:hAnsi="仿宋_GB2312" w:cs="仿宋_GB2312" w:eastAsia="仿宋_GB2312"/>
                <w:sz w:val="24"/>
              </w:rPr>
              <w:t>8．课堂互动游戏支持云储存，编辑完成的活动可一键存储至教师云空间，便于在不同课件中直接调用，无需反复编辑。</w:t>
            </w:r>
          </w:p>
          <w:p>
            <w:pPr>
              <w:pStyle w:val="null3"/>
              <w:ind w:firstLine="480"/>
              <w:jc w:val="both"/>
            </w:pPr>
            <w:r>
              <w:rPr>
                <w:rFonts w:ascii="仿宋_GB2312" w:hAnsi="仿宋_GB2312" w:cs="仿宋_GB2312" w:eastAsia="仿宋_GB2312"/>
                <w:sz w:val="24"/>
              </w:rPr>
              <w:t>9．提供柱状图、扇形图、折线图等互动图表，每类图表预置不少于5种样式，支持图表文字、背景、透明度设置；柱状图、折线图可一键转置互换坐标轴类别；图表支持三维模式旋转展示，生动形象。</w:t>
            </w:r>
          </w:p>
          <w:p>
            <w:pPr>
              <w:pStyle w:val="null3"/>
              <w:ind w:firstLine="480"/>
              <w:jc w:val="both"/>
            </w:pPr>
            <w:r>
              <w:rPr>
                <w:rFonts w:ascii="仿宋_GB2312" w:hAnsi="仿宋_GB2312" w:cs="仿宋_GB2312" w:eastAsia="仿宋_GB2312"/>
                <w:sz w:val="24"/>
              </w:rPr>
              <w:t>10．提供多种翻页按键布局，翻页按键可分布于屏幕单侧或左右两侧，支持上下翻页、课件页面预览及页面非线性跳转。</w:t>
            </w:r>
          </w:p>
          <w:p>
            <w:pPr>
              <w:pStyle w:val="null3"/>
              <w:ind w:firstLine="480"/>
              <w:jc w:val="both"/>
            </w:pPr>
            <w:r>
              <w:rPr>
                <w:rFonts w:ascii="仿宋_GB2312" w:hAnsi="仿宋_GB2312" w:cs="仿宋_GB2312" w:eastAsia="仿宋_GB2312"/>
                <w:sz w:val="24"/>
              </w:rPr>
              <w:t>11．支持课件内所有的元素对象创建超链接，可链接到对象所在课件的相关页面、网页、文档等。</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5）教学数据分析平台</w:t>
            </w:r>
          </w:p>
          <w:p>
            <w:pPr>
              <w:pStyle w:val="null3"/>
              <w:ind w:firstLine="480"/>
              <w:jc w:val="both"/>
            </w:pPr>
            <w:r>
              <w:rPr>
                <w:rFonts w:ascii="仿宋_GB2312" w:hAnsi="仿宋_GB2312" w:cs="仿宋_GB2312" w:eastAsia="仿宋_GB2312"/>
                <w:sz w:val="24"/>
              </w:rPr>
              <w:t>1. 后台采用B/S架构设计，支持学校管理者在多种不同的操作系统上通过网页浏览器登陆进行操作，可统计全校教师软件活跃数据、学生点评及课件上传等数据。</w:t>
            </w:r>
          </w:p>
          <w:p>
            <w:pPr>
              <w:pStyle w:val="null3"/>
              <w:ind w:firstLine="480"/>
              <w:jc w:val="both"/>
            </w:pPr>
            <w:r>
              <w:rPr>
                <w:rFonts w:ascii="仿宋_GB2312" w:hAnsi="仿宋_GB2312" w:cs="仿宋_GB2312" w:eastAsia="仿宋_GB2312"/>
                <w:sz w:val="24"/>
              </w:rPr>
              <w:t>2. 支持管理员及教师使用网页端、移动端登录，移动端支持查看网页端数据信息，教师榜单，并定期推送数据分析报表，帮助学校检验信息化教学成果。</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1"/>
                <w:color w:val="000000"/>
              </w:rPr>
              <w:t>▲</w:t>
            </w:r>
            <w:r>
              <w:rPr>
                <w:rFonts w:ascii="仿宋_GB2312" w:hAnsi="仿宋_GB2312" w:cs="仿宋_GB2312" w:eastAsia="仿宋_GB2312"/>
                <w:sz w:val="24"/>
              </w:rPr>
              <w:t>信息化数据雷达图：将信息化教学数据分五个维度进行评估，分别为分别为资源建设、校本研修、校影响力、学情分析及班级氛围，并与全省均值对比。提供生产厂家确认的、相应的功能证明材料，加盖公章。</w:t>
            </w:r>
          </w:p>
          <w:p>
            <w:pPr>
              <w:pStyle w:val="null3"/>
              <w:ind w:firstLine="480"/>
              <w:jc w:val="both"/>
            </w:pPr>
            <w:r>
              <w:rPr>
                <w:rFonts w:ascii="仿宋_GB2312" w:hAnsi="仿宋_GB2312" w:cs="仿宋_GB2312" w:eastAsia="仿宋_GB2312"/>
                <w:sz w:val="24"/>
              </w:rPr>
              <w:t xml:space="preserve">4. </w:t>
            </w:r>
            <w:r>
              <w:rPr>
                <w:rFonts w:ascii="仿宋_GB2312" w:hAnsi="仿宋_GB2312" w:cs="仿宋_GB2312" w:eastAsia="仿宋_GB2312"/>
                <w:sz w:val="21"/>
                <w:color w:val="000000"/>
              </w:rPr>
              <w:t>▲</w:t>
            </w:r>
            <w:r>
              <w:rPr>
                <w:rFonts w:ascii="仿宋_GB2312" w:hAnsi="仿宋_GB2312" w:cs="仿宋_GB2312" w:eastAsia="仿宋_GB2312"/>
                <w:sz w:val="24"/>
              </w:rPr>
              <w:t>教师考勤：具备教师</w:t>
            </w:r>
            <w:r>
              <w:rPr>
                <w:rFonts w:ascii="仿宋_GB2312" w:hAnsi="仿宋_GB2312" w:cs="仿宋_GB2312" w:eastAsia="仿宋_GB2312"/>
                <w:sz w:val="24"/>
              </w:rPr>
              <w:t>GPS定位打卡考勤功能。学校管理员可设置考勤时间、考勤范围，还可以查看和导出考勤数据报表。教师可在移动端进行GPS考勤，到达学校范围后即激活打卡，支持入校、离校、迟到、早退等多种打卡类型。提供生产厂家确认的、相应的功能证明材料，加盖公章。</w:t>
            </w:r>
          </w:p>
          <w:p>
            <w:pPr>
              <w:pStyle w:val="null3"/>
              <w:ind w:firstLine="480"/>
              <w:jc w:val="both"/>
            </w:pPr>
            <w:r>
              <w:rPr>
                <w:rFonts w:ascii="仿宋_GB2312" w:hAnsi="仿宋_GB2312" w:cs="仿宋_GB2312" w:eastAsia="仿宋_GB2312"/>
                <w:sz w:val="24"/>
              </w:rPr>
              <w:t>5. 教研结构：支持管理者按照学段-学科-年级快速创建教师的教研组织结构，方便教师信息的分类管理。为学校提供教研全流程管理服务，包含教学计划、教学设计、听课评课、班级氛围的流程管理和数据分析，方便学校统筹管理教学、教研活动进展。</w:t>
            </w:r>
          </w:p>
          <w:p>
            <w:pPr>
              <w:pStyle w:val="null3"/>
              <w:ind w:firstLine="480"/>
              <w:jc w:val="both"/>
            </w:pPr>
            <w:r>
              <w:rPr>
                <w:rFonts w:ascii="仿宋_GB2312" w:hAnsi="仿宋_GB2312" w:cs="仿宋_GB2312" w:eastAsia="仿宋_GB2312"/>
                <w:sz w:val="24"/>
              </w:rPr>
              <w:t>6. 信息管理：支持修改管理员、教师的账户信息，支持管理员上传校徽，并对本校内管理者账户都可见。</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教案模板管理：支持管理者自定义学校的教案模板，可以设置必填项和选填项，有效规范教师教案的编写。</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1"/>
                <w:color w:val="000000"/>
              </w:rPr>
              <w:t>▲</w:t>
            </w:r>
            <w:r>
              <w:rPr>
                <w:rFonts w:ascii="仿宋_GB2312" w:hAnsi="仿宋_GB2312" w:cs="仿宋_GB2312" w:eastAsia="仿宋_GB2312"/>
                <w:sz w:val="24"/>
              </w:rPr>
              <w:t>班级氛围数据概况：支持查看不同时间段班级氛围数据的概况，数据包含家长入班率，教师对学生的新增点评数，教师参与度。</w:t>
            </w:r>
            <w:r>
              <w:rPr>
                <w:rFonts w:ascii="仿宋_GB2312" w:hAnsi="仿宋_GB2312" w:cs="仿宋_GB2312" w:eastAsia="仿宋_GB2312"/>
                <w:sz w:val="24"/>
              </w:rPr>
              <w:t>提供生产厂家确认的、相应的功能证明材料，加盖公章。</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 听评课数据统计导出：支持对不同评课维度得分进行统计，计算平均分并找出评分薄弱项，方便管理者针对性优化教学策略，同时支持查看全校的评课记录和得分详情，并可一键导出Excel表格。</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 电子教案：教师可以在个人空间直接编写教案，编写教案时可以关联课件，支持教师在个人空间、配套备授课工具查看课件以及教案。</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 校本资源管理：支持管理员在教研数字化到管理平台后台移动、删除、重命名教师上传至校本库的课件、教案、微课及多媒体等资源。</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 xml:space="preserve">. 习题使用：教师可以选择习题插入课件使用。支持在云空间中创建习题，包括选择题、填空题、解答题，支持批量导入习题，将习题分享至校本资源库。   </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6）展台</w:t>
            </w:r>
          </w:p>
          <w:p>
            <w:pPr>
              <w:pStyle w:val="null3"/>
            </w:pPr>
            <w:r>
              <w:rPr>
                <w:rFonts w:ascii="仿宋_GB2312" w:hAnsi="仿宋_GB2312" w:cs="仿宋_GB2312" w:eastAsia="仿宋_GB2312"/>
                <w:sz w:val="24"/>
              </w:rPr>
              <w:t>1.设备≥800万像素摄像头；采用 USB供电</w:t>
            </w:r>
            <w:r>
              <w:br/>
            </w:r>
            <w:r>
              <w:rPr>
                <w:rFonts w:ascii="仿宋_GB2312" w:hAnsi="仿宋_GB2312" w:cs="仿宋_GB2312" w:eastAsia="仿宋_GB2312"/>
                <w:sz w:val="24"/>
              </w:rPr>
              <w:t>2.支持不小于A4大小拍摄幅面，1080P动态视频预览达到30帧/秒。</w:t>
            </w:r>
            <w:r>
              <w:br/>
            </w:r>
            <w:r>
              <w:rPr>
                <w:rFonts w:ascii="仿宋_GB2312" w:hAnsi="仿宋_GB2312" w:cs="仿宋_GB2312" w:eastAsia="仿宋_GB2312"/>
                <w:sz w:val="24"/>
              </w:rPr>
              <w:t>3.支持展台成像画面实时批注，预设多种笔划供选择。</w:t>
            </w:r>
            <w:r>
              <w:br/>
            </w:r>
            <w:r>
              <w:rPr>
                <w:rFonts w:ascii="仿宋_GB2312" w:hAnsi="仿宋_GB2312" w:cs="仿宋_GB2312" w:eastAsia="仿宋_GB2312"/>
                <w:sz w:val="24"/>
              </w:rPr>
              <w:t>4.具有故障自动检测功能，可自动出现检测链接。</w:t>
            </w:r>
            <w:r>
              <w:br/>
            </w:r>
            <w:r>
              <w:rPr>
                <w:rFonts w:ascii="仿宋_GB2312" w:hAnsi="仿宋_GB2312" w:cs="仿宋_GB2312" w:eastAsia="仿宋_GB2312"/>
                <w:sz w:val="24"/>
              </w:rPr>
              <w:t>5.展示托板正上方具备LED补光灯，适应环境变化。</w:t>
            </w:r>
            <w:r>
              <w:br/>
            </w:r>
            <w:r>
              <w:rPr>
                <w:rFonts w:ascii="仿宋_GB2312" w:hAnsi="仿宋_GB2312" w:cs="仿宋_GB2312" w:eastAsia="仿宋_GB2312"/>
                <w:sz w:val="24"/>
              </w:rPr>
              <w:t>6.外壳在摄像头部分带保护镜片密封，防止灰尘沾染摄像头。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合同签订生效后10日内，乙方向甲方开具合同总金额50%的增值税专用发票，甲方在收到发票后10个工作日内向乙方支付合同总金额的50%作为预付款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交付至甲方指定地点并完成安装调试，双方签署《到货及安装确认单》，且由乙方提出终验申请，甲方组织相关专家完成终验后10个工作日内，乙方向甲方开具合同总金额50%的增值税专用发票，甲方在收到发票后10个工作日内向乙方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设备方可进行安装、调试，达到正常使用条件时由采购人负责组织邀请有关专家、质检机构共同进行验收；验收合格须交接项目实施的全部资料，并填写政府采购项目验收报告单。验收须以合同、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及本合同约定的条款，成交供应商未全面履行合同义务或者发生违约，采购人有权终止合同，依法向成交供应商进行经济索赔，并报请政府采购监督管理机关依法进行相应的行政处罚。采购人违约的，应当赔偿给成交供应商造成的经济损失。 合同争议的解决：合同执行中发生争议的，当事人双方应协商解决，协商达不成一致时，可向甲方所在地有管辖权的人民法院提请诉讼。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供应商应授权合法的人员参加投标全过程，其中法定代表人直接参加投标的，须提供法定代表人身份证明书。法定代表人授权代表参加投标的，须提供法定代表人授权书。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响应文件递交截止时间前一年内任意一个月的税收缴费凭据；依法免税的应提供相关文件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合同书面声明及承诺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 标的清单（分项）.docx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产品技术参数表 商务应答表 投标文件封面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产品技术参数表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开标一览表 中小企业声明函 商务应答表 供应商承诺书（一）（二）.docx 标的清单（分项）.docx 商务响应表.docx 供应商概况.docx 技术指标响应表.docx 合同文本.docx 投标方案说明书.docx 无“无效响应”情况声明.docx 产品技术参数表 投标人应提交的相关资格证明材料.docx 投标函 残疾人福利性单位声明函 标的清单 投标文件封面 监狱企业的证明文件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完全理解并接受文件合同条款的要求</w:t>
            </w:r>
          </w:p>
        </w:tc>
        <w:tc>
          <w:tcPr>
            <w:tcW w:type="dxa" w:w="1661"/>
          </w:tcPr>
          <w:p>
            <w:pPr>
              <w:pStyle w:val="null3"/>
            </w:pPr>
            <w:r>
              <w:rPr>
                <w:rFonts w:ascii="仿宋_GB2312" w:hAnsi="仿宋_GB2312" w:cs="仿宋_GB2312" w:eastAsia="仿宋_GB2312"/>
              </w:rPr>
              <w:t>合同文本.docx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完全理解并接受法律法规和招标文件对供应商的各项须知、规约要求和责任义务，没有出现法律法规或招标文件明确规定的其他被视为“无效响应”的情形</w:t>
            </w:r>
          </w:p>
        </w:tc>
        <w:tc>
          <w:tcPr>
            <w:tcW w:type="dxa" w:w="1661"/>
          </w:tcPr>
          <w:p>
            <w:pPr>
              <w:pStyle w:val="null3"/>
            </w:pPr>
            <w:r>
              <w:rPr>
                <w:rFonts w:ascii="仿宋_GB2312" w:hAnsi="仿宋_GB2312" w:cs="仿宋_GB2312" w:eastAsia="仿宋_GB2312"/>
              </w:rPr>
              <w:t>无“无效响应”情况声明.docx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的技术参数完全符合、响应招标文件要求，没有负偏离计25分。1、技术参数中标“▲”项的为重要参数，每负偏离一项扣1分。2、技术参数中非“▲”项的为一般参数，每负偏离一项扣0.5分，扣完为止。注：须提供证明材料（包含但不限于第三方检测报告、彩页、官网截图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技术指标响应表.docx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一、评审内容：针对本项目提供完整详细的项目实施方案。内容包含：①项目总实施计划②供货组织安排③安装、调试及验收方案④安装材料、物力调配及保障措施等。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1分，该项分值扣完为止，未提供不得分。 赋分说明：“缺陷”是指套用其他项目方案内容；或引用科学原理错误；或项目名称错误；或实施地点错误；或引用的法律法规、标准（方法）或其他规范性文件错误；或前后逻辑错误；或存在与本项目特点、采购需求无关内容的任一情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一、评审内容：根据项目实际需求，提供质量保证方案。内容包含：①质量保证措施②应急处理方案等。 二、评审标准：提供详细、合理、科学可行的方案，方案符合本项目采购需求有针对性，以上2项，以序号①、②为项数，内容无缺项、无漏项且无缺陷的得4分，其中每有一项内容存在缺项或漏项的扣2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一、评审内容：提供针对本项目培训计划，内容应包含:①培训计划②培训方式及内容等两项内容进行综合评审。 二、评审标准：提供详细、合理、科学可行的方案，方案符合本项目采购需求有针对性，以上2项，以序号①、②为项数，内容无缺项、无漏项且无缺陷的得4分，其中每有一项内容存在缺项或漏项的扣2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如投标人为所投产品经销商：提供货物的合法来源渠道证明文件（包括但不限于：产品制造商授权、销售协议、代理协议等证明文件）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提供投标人2022年11月1日以来类似项目业绩（以合同签订日期为准），每份合格业绩合同计 1 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一、评审内容：根据项目实际需求提供售后服务方案。内容包含：①售后服务范围及保障措施②响应时间③响应方式④故障处理及补救措施等。 二、评审标准：提供详细、合理、科学可行的方案，方案符合本项目采购需求有针对性，以上4项，以序号①、②、③、④为项数，内容无缺项、无漏项且无缺陷的得8分，其中每有一项内容存在缺项或者漏项的扣2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行。</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满足招标文件要求且投标价格最低的投标报价为评标基准价，其价格分为满分。其他投标人的价格分统一按照下列公式计算：投标报价得分=（评标基准价/有效报价）×价格权重（40%）×100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详见附件：标的清单（分项）.docx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详见附件：无“无效响应”情况声明.docx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详见附件：供应商承诺书（一）（二）.docx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