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临渭区中小学智慧黑板</w:t>
      </w:r>
      <w:r>
        <w:rPr>
          <w:rFonts w:hint="eastAsia" w:ascii="宋体" w:hAnsi="宋体"/>
          <w:b/>
          <w:sz w:val="48"/>
          <w:szCs w:val="48"/>
        </w:rPr>
        <w:t>采购项目</w:t>
      </w:r>
    </w:p>
    <w:p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合同书</w:t>
      </w: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jc w:val="center"/>
        <w:rPr>
          <w:rFonts w:hint="eastAsia" w:ascii="宋体" w:hAnsi="宋体"/>
          <w:b/>
          <w:sz w:val="48"/>
          <w:szCs w:val="4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default" w:ascii="宋体" w:hAnsi="宋体" w:eastAsia="仿宋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合同编号：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LWQZFCG2025-017</w:t>
      </w:r>
    </w:p>
    <w:p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rPr>
          <w:rFonts w:hint="eastAsia" w:ascii="仿宋" w:hAnsi="仿宋" w:eastAsia="仿宋"/>
          <w:b/>
          <w:sz w:val="48"/>
          <w:szCs w:val="48"/>
        </w:rPr>
      </w:pPr>
    </w:p>
    <w:p>
      <w:pPr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甲  方：渭南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市临渭区教育体育局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>
      <w:pPr>
        <w:spacing w:line="680" w:lineRule="exact"/>
        <w:ind w:firstLine="1285" w:firstLineChars="400"/>
        <w:rPr>
          <w:rFonts w:hint="eastAsia"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32"/>
          <w:szCs w:val="32"/>
        </w:rPr>
        <w:t>乙  方：</w:t>
      </w:r>
    </w:p>
    <w:p>
      <w:pPr>
        <w:tabs>
          <w:tab w:val="left" w:pos="1995"/>
        </w:tabs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签订时间：202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年 月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zh-CN"/>
        </w:rPr>
        <w:t>需方</w:t>
      </w:r>
      <w:r>
        <w:rPr>
          <w:rFonts w:hint="eastAsia" w:ascii="仿宋" w:hAnsi="仿宋" w:eastAsia="仿宋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lang w:val="zh-CN"/>
        </w:rPr>
        <w:t>渭南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市临渭区教育体育局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统一社会信用代码：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地址：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法定代表人/负责人：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联系电话：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 xml:space="preserve">                   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乙方（供方）：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统一社会信用代码：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地址：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法定代表人/负责人：</w:t>
      </w:r>
    </w:p>
    <w:p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联系电话：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</w:t>
      </w:r>
      <w:r>
        <w:rPr>
          <w:rFonts w:hint="eastAsia" w:ascii="仿宋" w:hAnsi="仿宋" w:eastAsia="仿宋"/>
          <w:sz w:val="28"/>
          <w:szCs w:val="28"/>
          <w:lang w:val="zh-CN"/>
        </w:rPr>
        <w:t>政府采购中心    年   月   日，在渭南市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临渭区财政局七楼开标室</w:t>
      </w:r>
      <w:r>
        <w:rPr>
          <w:rFonts w:hint="eastAsia" w:ascii="仿宋" w:hAnsi="仿宋" w:eastAsia="仿宋"/>
          <w:sz w:val="28"/>
          <w:szCs w:val="28"/>
          <w:lang w:val="zh-CN"/>
        </w:rPr>
        <w:t>组织的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临渭区中小学智慧黑板</w:t>
      </w:r>
      <w:r>
        <w:rPr>
          <w:rFonts w:hint="eastAsia" w:ascii="仿宋" w:hAnsi="仿宋" w:eastAsia="仿宋"/>
          <w:sz w:val="28"/>
          <w:szCs w:val="28"/>
          <w:lang w:val="zh-CN"/>
        </w:rPr>
        <w:t>采购项目采购活动中，             公司为中标供应商，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根据《中华人民共和国民法典》等相关法律法规，</w:t>
      </w:r>
      <w:r>
        <w:rPr>
          <w:rFonts w:hint="eastAsia" w:ascii="仿宋" w:hAnsi="仿宋" w:eastAsia="仿宋"/>
          <w:sz w:val="28"/>
          <w:szCs w:val="28"/>
          <w:lang w:val="zh-CN"/>
        </w:rPr>
        <w:t>现就有关事宜协议如下：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1、合同内容及金额：即成交供应商的响应具体内容及其成交总金额（包括所发生的运输费、杂费（含保险）、商检费、搬运费、安装调试费、培训费等一切费用）。其金额不受市场和工作量变化的影响。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2、设备技术规格、数量：即交付的设备技术规格、型号、数量与响应文件所指明的，或者与本合同所指明的技术规格及型号相一致。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3、知识产权：即成交供应商应保证采购人在使用成交的设备时，不承担任何涉及知识产权法律诉讼的责任。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4、工期：合同签订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之日起</w:t>
      </w:r>
      <w:r>
        <w:rPr>
          <w:rFonts w:hint="eastAsia" w:ascii="仿宋" w:hAnsi="仿宋" w:eastAsia="仿宋"/>
          <w:sz w:val="28"/>
          <w:szCs w:val="28"/>
          <w:lang w:val="zh-CN"/>
        </w:rPr>
        <w:t>30天内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完成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质保期：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 w:eastAsia="zh-CN"/>
        </w:rPr>
        <w:t>（1）售后服务标准要求：严格按照国家标准执行三包,严格按照厂家质保期进行质保。培训模式：根据校方要求进行培训。（2）售后服务效率要求：即时响应（包括电话响应）；电话响应无法解决时，2小时内到达现场。修复时间2小时内；如2小时内无法修复，应提供相应解决方案。（3）质保期：验收合格后3年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成交供应商未征得采购人同意和谅解而单方面延迟交货，将按违约终止合同。</w:t>
      </w:r>
    </w:p>
    <w:p>
      <w:pPr>
        <w:tabs>
          <w:tab w:val="left" w:pos="1155"/>
        </w:tabs>
        <w:spacing w:line="360" w:lineRule="auto"/>
        <w:ind w:firstLine="645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遇到可能妨碍按时安装调试的情况，应当及时以书面形式通知采购人，说明原由、拖延的期限等；采购人在收到通知后，尽快进行情况评估并确定是否通过修改合同，酌情延长交工时间或者通过协商加收误期赔偿金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5、交货地点：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采购人指定地点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6、包装：包装必须适应设备和交通运输要求，以及国家有关标准或企业标准或合同要求。成交供应商应承担由于包装、防护措施不妥引起的所有损失的责任和费用。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7、运输：成交供应商可根据交货期、运输条件自行选择运输方式（另有规定的除外），承担一切运输费用。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8、付款方式：本合同总价款由甲方分</w:t>
      </w:r>
      <w:r>
        <w:rPr>
          <w:rFonts w:hint="eastAsia" w:ascii="仿宋" w:hAnsi="仿宋" w:eastAsia="仿宋"/>
          <w:sz w:val="28"/>
          <w:szCs w:val="28"/>
          <w:lang w:val="zh-CN" w:eastAsia="zh-CN"/>
        </w:rPr>
        <w:t>两</w:t>
      </w:r>
      <w:r>
        <w:rPr>
          <w:rFonts w:hint="eastAsia" w:ascii="仿宋" w:hAnsi="仿宋" w:eastAsia="仿宋"/>
          <w:sz w:val="28"/>
          <w:szCs w:val="28"/>
          <w:lang w:val="zh-CN"/>
        </w:rPr>
        <w:t>次支付给乙方，支付过程中产生的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一切</w:t>
      </w:r>
      <w:r>
        <w:rPr>
          <w:rFonts w:hint="eastAsia" w:ascii="仿宋" w:hAnsi="仿宋" w:eastAsia="仿宋"/>
          <w:sz w:val="28"/>
          <w:szCs w:val="28"/>
          <w:lang w:val="zh-CN"/>
        </w:rPr>
        <w:t>税费由乙方承担。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8.1、第一次付款：合同签订生效后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日内，乙方向甲方开具合同总金额50%的增值税专用发票，甲方在收到发票后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个工作日内向乙方支付合同总金额的50%作为预付款。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8.2、第二次付款：全部设备交付至甲方指定地点并完成安装调试，双方签署《到货及安装确认单》，且由乙方提出终验申请，甲方组织相关专家终验合格后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个工作日内，乙方向甲方开具合同总金额50%的增值税专用发票，甲方在收到发票后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个工作日内向乙方支付合同总金额的50%。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8.3、甲方的开票信息如下：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名称：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纳税人识别号：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地址：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电话：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开户行及账号：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8.4、乙方指定收款银行账户如下：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账户名：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开户行：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开户行账号：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8.5、若乙方未按本合同约定向甲方开具正式税务发票，甲方有权拒付相应款项，且对不付款免责。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 w:eastAsia="zh-CN"/>
        </w:rPr>
      </w:pPr>
      <w:r>
        <w:rPr>
          <w:rFonts w:hint="eastAsia" w:ascii="仿宋" w:hAnsi="仿宋" w:eastAsia="仿宋"/>
          <w:sz w:val="28"/>
          <w:szCs w:val="28"/>
          <w:lang w:val="zh-CN" w:eastAsia="zh-CN"/>
        </w:rPr>
        <w:t>9、技术保障：成交供应商应随同设备单提供相应的中文技术文件（包括产品合格证、装箱清单、操作手册、使用说明、检测报告、维护手册、服务指南等资料），现场安装、调试、试运行技术保障服务。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10、考察与人员技术培训：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10.1培训方式：现场培训；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10.2培训人数：用户指定人员及人数；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10.3培训内容：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以上各项培训均为免费。</w:t>
      </w:r>
    </w:p>
    <w:p>
      <w:pPr>
        <w:tabs>
          <w:tab w:val="left" w:pos="1155"/>
          <w:tab w:val="left" w:pos="1470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11、质量保证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11.1成交供应商使用的原材料应提供清单，并在到货24小时内通知采购人代表检验核实（具体方式在合同中明确）。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11.2</w:t>
      </w:r>
      <w:r>
        <w:rPr>
          <w:rFonts w:hint="eastAsia" w:ascii="仿宋" w:hAnsi="仿宋" w:eastAsia="仿宋"/>
          <w:sz w:val="28"/>
          <w:szCs w:val="28"/>
          <w:lang w:val="zh-CN"/>
        </w:rPr>
        <w:t>成交供应商应当保证所供设备的来源渠道正常，产品是全新的、未使用过的，且完全符合合同规定的质量、规格、技术指标等要求，并在本合同约定的质保期内，对由于产品设计、工艺或材料的缺陷而发生的质量问题负责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11.3在质保期内，如果发现设备的质量、规格、技术指标等存在与合同有任何一项不符，采购人应在最短时间内，以书面形式向成交供应商人提出索赔，同时告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知</w:t>
      </w:r>
      <w:r>
        <w:rPr>
          <w:rFonts w:hint="eastAsia" w:ascii="仿宋" w:hAnsi="仿宋" w:eastAsia="仿宋"/>
          <w:sz w:val="28"/>
          <w:szCs w:val="28"/>
          <w:lang w:val="zh-CN"/>
        </w:rPr>
        <w:t>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11.4成交供应商应当明确售后服务公约，承诺免费维修服务条件。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12、检验：在交货前，成交供应商应当对所提供设备的质量、规格、技术、数量等进行准确而全面的检验，出具合格证并封装；设备送达指定地点后，成交供应商、采购人须在约定的时间和地点共同开箱检验。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13、验收：通过检验的设备方可进行安装、调试，达到正常使用条件时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由采购人负责组织邀请有关专家、质检机构共同进行验收</w:t>
      </w:r>
      <w:r>
        <w:rPr>
          <w:rFonts w:hint="eastAsia" w:ascii="仿宋" w:hAnsi="仿宋" w:eastAsia="仿宋"/>
          <w:sz w:val="28"/>
          <w:szCs w:val="28"/>
          <w:lang w:val="zh-CN"/>
        </w:rPr>
        <w:t>；验收合格须交接项目实施的全部资料，并填写政府采购项目验收报告单。验收须以合同、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国家</w:t>
      </w:r>
      <w:r>
        <w:rPr>
          <w:rFonts w:hint="eastAsia" w:ascii="仿宋" w:hAnsi="仿宋" w:eastAsia="仿宋"/>
          <w:sz w:val="28"/>
          <w:szCs w:val="28"/>
          <w:lang w:val="zh-CN"/>
        </w:rPr>
        <w:t>相应的标准、规范等为依据。</w:t>
      </w:r>
    </w:p>
    <w:p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14、合同争议的解决：合同执行中发生争议的，当事人双方应协商解决，协商达不成一致时，可向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甲方所在地有管辖权的</w:t>
      </w:r>
      <w:r>
        <w:rPr>
          <w:rFonts w:hint="eastAsia" w:ascii="仿宋" w:hAnsi="仿宋" w:eastAsia="仿宋"/>
          <w:sz w:val="28"/>
          <w:szCs w:val="28"/>
          <w:lang w:val="zh-CN"/>
        </w:rPr>
        <w:t>人民法院提请诉讼。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15、合同一经签订，不得擅自变更、中止或者终止合同。对确需变更、调整或者中止、终止合同的，应按规定履行相应的手续。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16、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 双方权利义务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甲方权利义务：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  <w:lang w:val="zh-CN"/>
        </w:rPr>
        <w:t>.1 按合同约定支付款项。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.2 提供符合要求的安装场地和条件。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.3 及时组织验收工作。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.4 有权监督乙方的安装质量和进度。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.5 按说明书要求正确使用和维护设备。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.6 在保修期内非质量问题造成的维修，应支付相应费用。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乙方权利义务：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.7 保证设备来源合法、质量合格，是原厂正品。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.8 按合同约定时间、地点交付合格设备。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.9 严格按照技术规范和合同要求进行安全、文明施工，确保安装质量。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.10 承担安装期间的人员、设备安全责任。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.11 提供完整的技术资料（说明书、保修卡、合格证等）和操作培训。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.12 履行保修义务。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.13 遵守甲方现场管理制度。</w:t>
      </w:r>
    </w:p>
    <w:p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、违约责任：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依据《中华人民共和国民法典》及</w:t>
      </w:r>
      <w:r>
        <w:rPr>
          <w:rFonts w:hint="eastAsia" w:ascii="仿宋" w:hAnsi="仿宋" w:eastAsia="仿宋"/>
          <w:sz w:val="28"/>
          <w:szCs w:val="28"/>
          <w:lang w:val="zh-CN"/>
        </w:rPr>
        <w:t>本合同约定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的条款</w:t>
      </w:r>
      <w:r>
        <w:rPr>
          <w:rFonts w:hint="eastAsia" w:ascii="仿宋" w:hAnsi="仿宋" w:eastAsia="仿宋"/>
          <w:sz w:val="28"/>
          <w:szCs w:val="28"/>
          <w:lang w:val="zh-CN"/>
        </w:rPr>
        <w:t>，成交供应商未全面履行合同义务或者发生违约，采购人有权终止合同，依法向成交供应商进行经济索赔，并报请政府采购监督管理机关依法进行相应的行政处罚。采购人违约的，应当赔偿给成交供应商造成的经济损失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lang w:val="zh-CN"/>
        </w:rPr>
        <w:t>、合同正本一式4份，采购人、成交供应商、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政府采购中心</w:t>
      </w:r>
      <w:r>
        <w:rPr>
          <w:rFonts w:hint="eastAsia" w:ascii="仿宋" w:hAnsi="仿宋" w:eastAsia="仿宋"/>
          <w:sz w:val="28"/>
          <w:szCs w:val="28"/>
          <w:lang w:val="zh-CN"/>
        </w:rPr>
        <w:t>各执一份，政府采购监督管理机关备案执一份。</w:t>
      </w:r>
    </w:p>
    <w:p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val="zh-CN"/>
        </w:rPr>
        <w:t>、其他（在合同中具体明确）</w:t>
      </w: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甲  方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采购人名称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中标供应商全称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地址： </w:t>
            </w:r>
          </w:p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法定代表人： 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帐号：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  <w:p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</w:tc>
      </w:tr>
    </w:tbl>
    <w:p>
      <w:pPr>
        <w:spacing w:line="500" w:lineRule="exac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42"/>
          <w:szCs w:val="42"/>
        </w:rPr>
        <w:t xml:space="preserve">   </w:t>
      </w:r>
      <w:r>
        <w:rPr>
          <w:rFonts w:hint="eastAsia" w:ascii="仿宋" w:hAnsi="仿宋" w:eastAsia="仿宋"/>
          <w:sz w:val="28"/>
          <w:szCs w:val="28"/>
          <w:lang w:val="zh-CN"/>
        </w:rPr>
        <w:t>备注：以上合同条款中，甲方为采购人，乙方为中标供应商。</w:t>
      </w:r>
    </w:p>
    <w:p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E55F8"/>
    <w:rsid w:val="02F07D93"/>
    <w:rsid w:val="06DB44D3"/>
    <w:rsid w:val="081D3EB3"/>
    <w:rsid w:val="0A9450C5"/>
    <w:rsid w:val="0B3C7C36"/>
    <w:rsid w:val="0D760762"/>
    <w:rsid w:val="1D400BDA"/>
    <w:rsid w:val="256C093F"/>
    <w:rsid w:val="2B5636D0"/>
    <w:rsid w:val="2C663A74"/>
    <w:rsid w:val="2D7379B1"/>
    <w:rsid w:val="30653257"/>
    <w:rsid w:val="32FD1BE0"/>
    <w:rsid w:val="36E0506A"/>
    <w:rsid w:val="3E98745C"/>
    <w:rsid w:val="45B268F1"/>
    <w:rsid w:val="4A1B3DAB"/>
    <w:rsid w:val="4D023B34"/>
    <w:rsid w:val="4F43410B"/>
    <w:rsid w:val="54AE00FE"/>
    <w:rsid w:val="569021B1"/>
    <w:rsid w:val="58DF2F7C"/>
    <w:rsid w:val="69407A67"/>
    <w:rsid w:val="696C1E62"/>
    <w:rsid w:val="6F852B7C"/>
    <w:rsid w:val="6F9269C8"/>
    <w:rsid w:val="6FB40528"/>
    <w:rsid w:val="73441F01"/>
    <w:rsid w:val="741F1B70"/>
    <w:rsid w:val="7780578D"/>
    <w:rsid w:val="778D20C9"/>
    <w:rsid w:val="7A216A35"/>
    <w:rsid w:val="7B7714B3"/>
    <w:rsid w:val="7B784E3E"/>
    <w:rsid w:val="7BDD7EB8"/>
    <w:rsid w:val="7D38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2532</Words>
  <Characters>2647</Characters>
  <Lines>0</Lines>
  <Paragraphs>0</Paragraphs>
  <TotalTime>13</TotalTime>
  <ScaleCrop>false</ScaleCrop>
  <LinksUpToDate>false</LinksUpToDate>
  <CharactersWithSpaces>2869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2025-11-03T00:33:00Z</dcterms:created>
  <dc:creator>Administrator</dc:creator>
  <cp:lastModifiedBy>Administrator</cp:lastModifiedBy>
  <dcterms:modified xsi:type="dcterms:W3CDTF">2025-11-05T08:03:58Z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eyJoZGlkIjoiZjNkODkwYzk2MDFkODkyNDdjNGM5OTRmMTIyNGYwYTgiLCJ1c2VySWQiOiI5MTg2MjI4OTUifQ==</vt:lpwstr>
  </property>
  <property fmtid="{D5CDD505-2E9C-101B-9397-08002B2CF9AE}" pid="4" name="ICV">
    <vt:lpwstr>AB1A5D75EE34492F88F6420ABF12DEF3_12</vt:lpwstr>
  </property>
</Properties>
</file>