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3"/>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rPr>
        <w:t>施工组织设计</w:t>
      </w:r>
    </w:p>
    <w:p w14:paraId="20EB7B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olor w:val="000000"/>
          <w:sz w:val="24"/>
          <w:lang w:val="en-US" w:eastAsia="zh-CN"/>
        </w:rPr>
        <w:t>供应商根据磋商文件要求自行编制，格式自拟。</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w:t>
      </w:r>
      <w:r>
        <w:rPr>
          <w:rFonts w:hint="eastAsia" w:ascii="宋体" w:hAnsi="宋体"/>
          <w:color w:val="000000"/>
          <w:sz w:val="24"/>
          <w:lang w:val="en-US" w:eastAsia="zh-CN"/>
        </w:rPr>
        <w:t>.</w:t>
      </w:r>
      <w:r>
        <w:rPr>
          <w:rFonts w:hint="eastAsia" w:ascii="宋体" w:hAnsi="宋体"/>
          <w:color w:val="000000"/>
          <w:sz w:val="24"/>
        </w:rPr>
        <w:t>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w:t>
      </w:r>
      <w:r>
        <w:rPr>
          <w:rFonts w:hint="eastAsia" w:ascii="宋体" w:hAnsi="宋体"/>
          <w:color w:val="000000"/>
          <w:sz w:val="24"/>
          <w:lang w:val="en-US" w:eastAsia="zh-CN"/>
        </w:rPr>
        <w:t>.</w:t>
      </w:r>
      <w:r>
        <w:rPr>
          <w:rFonts w:hint="eastAsia" w:ascii="宋体" w:hAnsi="宋体"/>
          <w:color w:val="000000"/>
          <w:sz w:val="24"/>
        </w:rPr>
        <w:t>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3</w:t>
      </w:r>
      <w:r>
        <w:rPr>
          <w:rFonts w:hint="eastAsia" w:ascii="宋体" w:hAnsi="宋体"/>
          <w:color w:val="000000"/>
          <w:sz w:val="24"/>
          <w:lang w:val="en-US" w:eastAsia="zh-CN"/>
        </w:rPr>
        <w:t>.</w:t>
      </w:r>
      <w:r>
        <w:rPr>
          <w:rFonts w:hint="eastAsia" w:ascii="宋体" w:hAnsi="宋体"/>
          <w:color w:val="000000"/>
          <w:sz w:val="24"/>
        </w:rPr>
        <w:t>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b/>
          <w:bCs/>
          <w:color w:val="000000"/>
          <w:sz w:val="24"/>
        </w:rPr>
      </w:pPr>
      <w:bookmarkStart w:id="0" w:name="_GoBack"/>
      <w:bookmarkEnd w:id="0"/>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4"/>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72DE1C85">
      <w:pPr>
        <w:spacing w:line="460" w:lineRule="exact"/>
        <w:rPr>
          <w:rFonts w:hint="eastAsia" w:ascii="宋体" w:hAnsi="宋体"/>
          <w:color w:val="000000"/>
          <w:sz w:val="28"/>
          <w:szCs w:val="28"/>
        </w:rPr>
      </w:pP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8AD333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67136C"/>
    <w:rsid w:val="4AFF2A66"/>
    <w:rsid w:val="5407780A"/>
    <w:rsid w:val="761E08D4"/>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673</Words>
  <Characters>687</Characters>
  <Lines>0</Lines>
  <Paragraphs>0</Paragraphs>
  <TotalTime>0</TotalTime>
  <ScaleCrop>false</ScaleCrop>
  <LinksUpToDate>false</LinksUpToDate>
  <CharactersWithSpaces>732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2025-12-01T00:56:41Z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