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版本号：HRZBXA2025-14820251218001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HIS系统年度运维服务、接口打包项目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HRZBXA2025-148</w:t>
      </w:r>
      <w:r>
        <w:br/>
      </w:r>
      <w:r>
        <w:br/>
      </w:r>
      <w:r>
        <w:br/>
      </w:r>
    </w:p>
    <w:p>
      <w:pPr>
        <w:pStyle w:val="null3"/>
        <w:jc w:val="center"/>
        <w:outlineLvl w:val="5"/>
      </w:pPr>
      <w:r>
        <w:rPr>
          <w:rFonts w:ascii="仿宋_GB2312" w:hAnsi="仿宋_GB2312" w:cs="仿宋_GB2312" w:eastAsia="仿宋_GB2312"/>
          <w:sz w:val="15"/>
          <w:b/>
        </w:rPr>
        <w:t>渭南市第一医院</w:t>
      </w:r>
    </w:p>
    <w:p>
      <w:pPr>
        <w:pStyle w:val="null3"/>
        <w:jc w:val="center"/>
        <w:outlineLvl w:val="5"/>
      </w:pPr>
      <w:r>
        <w:rPr>
          <w:rFonts w:ascii="仿宋_GB2312" w:hAnsi="仿宋_GB2312" w:cs="仿宋_GB2312" w:eastAsia="仿宋_GB2312"/>
          <w:sz w:val="15"/>
          <w:b/>
        </w:rPr>
        <w:t>陕西恒瑞项目管理有限公司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2025年12月18日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陕西恒瑞项目管理有限公司</w:t>
      </w:r>
      <w:r>
        <w:rPr>
          <w:rFonts w:ascii="仿宋_GB2312" w:hAnsi="仿宋_GB2312" w:cs="仿宋_GB2312" w:eastAsia="仿宋_GB2312"/>
        </w:rPr>
        <w:t>（以下简称“代理机构”）受</w:t>
      </w:r>
      <w:r>
        <w:rPr>
          <w:rFonts w:ascii="仿宋_GB2312" w:hAnsi="仿宋_GB2312" w:cs="仿宋_GB2312" w:eastAsia="仿宋_GB2312"/>
        </w:rPr>
        <w:t>渭南市第一医院</w:t>
      </w:r>
      <w:r>
        <w:rPr>
          <w:rFonts w:ascii="仿宋_GB2312" w:hAnsi="仿宋_GB2312" w:cs="仿宋_GB2312" w:eastAsia="仿宋_GB2312"/>
        </w:rPr>
        <w:t>委托，拟对</w:t>
      </w:r>
      <w:r>
        <w:rPr>
          <w:rFonts w:ascii="仿宋_GB2312" w:hAnsi="仿宋_GB2312" w:cs="仿宋_GB2312" w:eastAsia="仿宋_GB2312"/>
        </w:rPr>
        <w:t>HIS系统年度运维服务、接口打包项目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HRZBXA2025-148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HIS系统年度运维服务、接口打包项目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保障医院信息系统（HIS，涵盖门诊挂号、收费结算、住院管理、药品管理、医技协同、病案统计、物资管理等核心业务模块）2025年度日常诊疗运营、医保结算及管理决策的连续稳定运行；满足医疗行业政策调整（如医保DIP支付改革、相关数据上报规范更新）适配需求及医院新增第三方系统接口对接需求，提供具备技术支撑能力的运维服务及合同期内全流程免费接口打包服务，规避系统中断风险。</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1、谈判保证金交纳凭证：谈判保证金交纳凭证</w:t>
      </w:r>
    </w:p>
    <w:p>
      <w:pPr>
        <w:pStyle w:val="null3"/>
      </w:pPr>
      <w:r>
        <w:rPr>
          <w:rFonts w:ascii="仿宋_GB2312" w:hAnsi="仿宋_GB2312" w:cs="仿宋_GB2312" w:eastAsia="仿宋_GB2312"/>
        </w:rPr>
        <w:t>2、信用信息：供应商不得为“信用中国”网站（www.creditchina.gov.cn）中列入失信被执行人和重大税收违法失信主体的供应商，不得为中国政府采购网（www.ccgp.gov.cn）中列入政府采购严重违法失信行为记录名单的供应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渭南市临渭区胜利街35号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渭南市第一医院任琼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13110300003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陕西恒瑞项目管理有限公司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西安市雁塔区科技四路与鱼化一路交汇处（春风心语·春风苑东门）17号商业楼三楼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王乃义、张雨莉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18829232807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刘园</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15829421695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开户名称：陕西恒瑞项目管理有限公司</w:t>
            </w:r>
          </w:p>
          <w:p>
            <w:pPr>
              <w:pStyle w:val="null3"/>
            </w:pPr>
            <w:r>
              <w:rPr>
                <w:rFonts w:ascii="仿宋_GB2312" w:hAnsi="仿宋_GB2312" w:cs="仿宋_GB2312" w:eastAsia="仿宋_GB2312"/>
              </w:rPr>
              <w:t>开户银行：农行西安雁翔路支行</w:t>
            </w:r>
          </w:p>
          <w:p>
            <w:pPr>
              <w:pStyle w:val="null3"/>
            </w:pPr>
            <w:r>
              <w:rPr>
                <w:rFonts w:ascii="仿宋_GB2312" w:hAnsi="仿宋_GB2312" w:cs="仿宋_GB2312" w:eastAsia="仿宋_GB2312"/>
              </w:rPr>
              <w:t>银行账号：26136101040001078</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渭南市第一医院</w:t>
      </w:r>
      <w:r>
        <w:rPr>
          <w:rFonts w:ascii="仿宋_GB2312" w:hAnsi="仿宋_GB2312" w:cs="仿宋_GB2312" w:eastAsia="仿宋_GB2312"/>
        </w:rPr>
        <w:t>和</w:t>
      </w:r>
      <w:r>
        <w:rPr>
          <w:rFonts w:ascii="仿宋_GB2312" w:hAnsi="仿宋_GB2312" w:cs="仿宋_GB2312" w:eastAsia="仿宋_GB2312"/>
        </w:rPr>
        <w:t>陕西恒瑞项目管理有限公司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陕西恒瑞项目管理有限公司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渭南市第一医院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陕西恒瑞项目管理有限公司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（一）运维服务验收标准 1、故障处理：故障解决率≥99%，一级故障恢复及时率100%，二级及以上故障复发率≤1%。 2、系统运行：系统全年可用率≥99.9%，数据库核心业务响应时间≤3秒。 3、文档与演练：运维月报、巡检报告、应急演练记录齐全规范；应急演练达标率100%。 4、满意度：年度服务满意度评分≥90分（满分100分，由临床科室及职能部门联合考评）。 （二）接口服务验收标准 1、政策性接口：上线及时率100%，数据上报准确率100%，无政策执行延误。 2、第三方接口：功能符合方案要求，数据传输准确率≥99.99%，接口响应时间≤2秒，与HIS兼容性良好。 3、交付物：每个接口上线后1周内提供完整技术文档（设计说明书、参数列表、错误码定义、测试报告）；年度末更新《HIS系统接口维护总手册》。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保障医院信息系统（HIS，涵盖门诊挂号、收费结算、住院管理、药品管理、医技协同、病案统计、物资管理等核心业务模块）2025年度日常诊疗运营、医保结算及管理决策的连续稳定运行；满足医疗行业政策调整（如医保DIP支付改革、相关数据上报规范更新）适配需求及医院新增第三方系统接口对接需求，提供具备技术支撑能力的运维服务及合同期内全流程免费接口打包服务，规避系统中断风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HIS 系统年度运维服务、接口打包项目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标的名称：HIS 系统年度运维服务、接口打包项目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rPr>
              <w:t>一、项目信息</w:t>
            </w:r>
          </w:p>
          <w:p>
            <w:pPr>
              <w:pStyle w:val="null3"/>
              <w:jc w:val="left"/>
            </w:pPr>
            <w:r>
              <w:rPr>
                <w:rFonts w:ascii="仿宋_GB2312" w:hAnsi="仿宋_GB2312" w:cs="仿宋_GB2312" w:eastAsia="仿宋_GB2312"/>
                <w:sz w:val="18"/>
              </w:rPr>
              <w:t>1、项目名称：HIS系统年度运维服务、接口打包采购项目</w:t>
            </w:r>
          </w:p>
          <w:p>
            <w:pPr>
              <w:pStyle w:val="null3"/>
              <w:jc w:val="left"/>
            </w:pPr>
            <w:r>
              <w:rPr>
                <w:rFonts w:ascii="仿宋_GB2312" w:hAnsi="仿宋_GB2312" w:cs="仿宋_GB2312" w:eastAsia="仿宋_GB2312"/>
                <w:sz w:val="18"/>
              </w:rPr>
              <w:t>2、服务期限：1年</w:t>
            </w:r>
          </w:p>
          <w:p>
            <w:pPr>
              <w:pStyle w:val="null3"/>
              <w:jc w:val="left"/>
            </w:pPr>
            <w:r>
              <w:rPr>
                <w:rFonts w:ascii="仿宋_GB2312" w:hAnsi="仿宋_GB2312" w:cs="仿宋_GB2312" w:eastAsia="仿宋_GB2312"/>
                <w:sz w:val="18"/>
              </w:rPr>
              <w:t>二、服务总体要求</w:t>
            </w:r>
          </w:p>
          <w:p>
            <w:pPr>
              <w:pStyle w:val="null3"/>
              <w:ind w:firstLine="180"/>
              <w:jc w:val="left"/>
            </w:pPr>
            <w:r>
              <w:rPr>
                <w:rFonts w:ascii="仿宋_GB2312" w:hAnsi="仿宋_GB2312" w:cs="仿宋_GB2312" w:eastAsia="仿宋_GB2312"/>
                <w:sz w:val="18"/>
              </w:rPr>
              <w:t>1、按合同约定提供全部服务项目，响应甲方需求不延迟。</w:t>
            </w:r>
          </w:p>
          <w:p>
            <w:pPr>
              <w:pStyle w:val="null3"/>
              <w:ind w:firstLine="180"/>
              <w:jc w:val="left"/>
            </w:pPr>
            <w:r>
              <w:rPr>
                <w:rFonts w:ascii="仿宋_GB2312" w:hAnsi="仿宋_GB2312" w:cs="仿宋_GB2312" w:eastAsia="仿宋_GB2312"/>
                <w:sz w:val="18"/>
              </w:rPr>
              <w:t>2、保障服务范围内产品稳定运行，维保期内提供免费升级服务。</w:t>
            </w:r>
          </w:p>
          <w:p>
            <w:pPr>
              <w:pStyle w:val="null3"/>
              <w:ind w:firstLine="360"/>
              <w:jc w:val="left"/>
            </w:pPr>
            <w:r>
              <w:rPr>
                <w:rFonts w:ascii="仿宋_GB2312" w:hAnsi="仿宋_GB2312" w:cs="仿宋_GB2312" w:eastAsia="仿宋_GB2312"/>
                <w:sz w:val="18"/>
              </w:rPr>
              <w:t>3、配备专业工程师不少于2人，提供7×24小时服务，1小时内电话响应，24小时内现场响应。</w:t>
            </w:r>
          </w:p>
          <w:p>
            <w:pPr>
              <w:pStyle w:val="null3"/>
              <w:ind w:firstLine="360"/>
              <w:jc w:val="left"/>
            </w:pPr>
            <w:r>
              <w:rPr>
                <w:rFonts w:ascii="仿宋_GB2312" w:hAnsi="仿宋_GB2312" w:cs="仿宋_GB2312" w:eastAsia="仿宋_GB2312"/>
                <w:sz w:val="18"/>
              </w:rPr>
              <w:t>4、软件故障排除期限不超过24小时，超期甲方可指定第三方维修，费用由乙方承担。</w:t>
            </w:r>
          </w:p>
          <w:p>
            <w:pPr>
              <w:pStyle w:val="null3"/>
              <w:ind w:firstLine="360"/>
              <w:jc w:val="left"/>
            </w:pPr>
            <w:r>
              <w:rPr>
                <w:rFonts w:ascii="仿宋_GB2312" w:hAnsi="仿宋_GB2312" w:cs="仿宋_GB2312" w:eastAsia="仿宋_GB2312"/>
                <w:sz w:val="18"/>
              </w:rPr>
              <w:t>5、服务方式涵盖电话、邮件、远程及现场服务等多种形式。</w:t>
            </w:r>
          </w:p>
          <w:p>
            <w:pPr>
              <w:pStyle w:val="null3"/>
              <w:ind w:firstLine="360"/>
              <w:jc w:val="left"/>
            </w:pPr>
            <w:r>
              <w:rPr>
                <w:rFonts w:ascii="仿宋_GB2312" w:hAnsi="仿宋_GB2312" w:cs="仿宋_GB2312" w:eastAsia="仿宋_GB2312"/>
                <w:sz w:val="18"/>
              </w:rPr>
              <w:t>6、每季度开展1次数据完整性及安全性验证，1次数据库调整优化。</w:t>
            </w:r>
          </w:p>
          <w:p>
            <w:pPr>
              <w:pStyle w:val="null3"/>
              <w:ind w:firstLine="360"/>
              <w:jc w:val="left"/>
            </w:pPr>
            <w:r>
              <w:rPr>
                <w:rFonts w:ascii="仿宋_GB2312" w:hAnsi="仿宋_GB2312" w:cs="仿宋_GB2312" w:eastAsia="仿宋_GB2312"/>
                <w:sz w:val="18"/>
              </w:rPr>
              <w:t>7、协助医疗设备调试，确保系统完整安全应用。</w:t>
            </w:r>
          </w:p>
          <w:p>
            <w:pPr>
              <w:pStyle w:val="null3"/>
              <w:ind w:firstLine="360"/>
              <w:jc w:val="left"/>
            </w:pPr>
            <w:r>
              <w:rPr>
                <w:rFonts w:ascii="仿宋_GB2312" w:hAnsi="仿宋_GB2312" w:cs="仿宋_GB2312" w:eastAsia="仿宋_GB2312"/>
                <w:sz w:val="18"/>
              </w:rPr>
              <w:t>8、响应启动后及时提出解决方案，主动推进问题解决。</w:t>
            </w:r>
          </w:p>
          <w:p>
            <w:pPr>
              <w:pStyle w:val="null3"/>
              <w:ind w:firstLine="360"/>
              <w:jc w:val="left"/>
            </w:pPr>
            <w:r>
              <w:rPr>
                <w:rFonts w:ascii="仿宋_GB2312" w:hAnsi="仿宋_GB2312" w:cs="仿宋_GB2312" w:eastAsia="仿宋_GB2312"/>
                <w:sz w:val="18"/>
              </w:rPr>
              <w:t>9、服务期间同步提供完整相关文档，为甲方提供技术问题处置的业务培训。</w:t>
            </w:r>
          </w:p>
          <w:p>
            <w:pPr>
              <w:pStyle w:val="null3"/>
              <w:ind w:firstLine="360"/>
              <w:jc w:val="left"/>
            </w:pPr>
            <w:r>
              <w:rPr>
                <w:rFonts w:ascii="仿宋_GB2312" w:hAnsi="仿宋_GB2312" w:cs="仿宋_GB2312" w:eastAsia="仿宋_GB2312"/>
                <w:sz w:val="18"/>
              </w:rPr>
              <w:t>10、发现甲方技术资料、数据或工作条件不符合约定时，及时通知甲方补充、修改或更换。</w:t>
            </w:r>
          </w:p>
          <w:p>
            <w:pPr>
              <w:pStyle w:val="null3"/>
              <w:ind w:firstLine="360"/>
              <w:jc w:val="left"/>
            </w:pPr>
            <w:r>
              <w:rPr>
                <w:rFonts w:ascii="仿宋_GB2312" w:hAnsi="仿宋_GB2312" w:cs="仿宋_GB2312" w:eastAsia="仿宋_GB2312"/>
                <w:sz w:val="18"/>
              </w:rPr>
              <w:t>11、工作中发现继续作业可能损害设备时，立即向甲方提出专业建议。</w:t>
            </w:r>
          </w:p>
          <w:p>
            <w:pPr>
              <w:pStyle w:val="null3"/>
              <w:ind w:firstLine="360"/>
              <w:jc w:val="left"/>
            </w:pPr>
            <w:r>
              <w:rPr>
                <w:rFonts w:ascii="仿宋_GB2312" w:hAnsi="仿宋_GB2312" w:cs="仿宋_GB2312" w:eastAsia="仿宋_GB2312"/>
                <w:sz w:val="18"/>
              </w:rPr>
              <w:t>12、约束内部员工严格遵守保密规定，严防信息泄露。</w:t>
            </w:r>
          </w:p>
          <w:p>
            <w:pPr>
              <w:pStyle w:val="null3"/>
              <w:ind w:firstLine="360"/>
              <w:jc w:val="left"/>
            </w:pPr>
            <w:r>
              <w:rPr>
                <w:rFonts w:ascii="仿宋_GB2312" w:hAnsi="仿宋_GB2312" w:cs="仿宋_GB2312" w:eastAsia="仿宋_GB2312"/>
                <w:sz w:val="18"/>
              </w:rPr>
              <w:t>13、甲方遭遇地震、火灾、雷击等不可抗力导致系统故障时，协助尽快恢复正常运行。</w:t>
            </w:r>
          </w:p>
          <w:p>
            <w:pPr>
              <w:pStyle w:val="null3"/>
              <w:ind w:firstLine="360"/>
              <w:jc w:val="left"/>
            </w:pPr>
            <w:r>
              <w:rPr>
                <w:rFonts w:ascii="仿宋_GB2312" w:hAnsi="仿宋_GB2312" w:cs="仿宋_GB2312" w:eastAsia="仿宋_GB2312"/>
                <w:sz w:val="18"/>
              </w:rPr>
              <w:t>三、核心服务内容参数</w:t>
            </w:r>
          </w:p>
          <w:p>
            <w:pPr>
              <w:pStyle w:val="null3"/>
              <w:ind w:firstLine="360"/>
              <w:jc w:val="left"/>
            </w:pPr>
            <w:r>
              <w:rPr>
                <w:rFonts w:ascii="仿宋_GB2312" w:hAnsi="仿宋_GB2312" w:cs="仿宋_GB2312" w:eastAsia="仿宋_GB2312"/>
                <w:sz w:val="18"/>
              </w:rPr>
              <w:t>（一）</w:t>
            </w:r>
            <w:r>
              <w:rPr>
                <w:rFonts w:ascii="仿宋_GB2312" w:hAnsi="仿宋_GB2312" w:cs="仿宋_GB2312" w:eastAsia="仿宋_GB2312"/>
                <w:sz w:val="18"/>
              </w:rPr>
              <w:t>HIS系统年度运维服务</w:t>
            </w:r>
          </w:p>
          <w:p>
            <w:pPr>
              <w:pStyle w:val="null3"/>
              <w:ind w:firstLine="360"/>
              <w:jc w:val="left"/>
            </w:pPr>
            <w:r>
              <w:rPr>
                <w:rFonts w:ascii="仿宋_GB2312" w:hAnsi="仿宋_GB2312" w:cs="仿宋_GB2312" w:eastAsia="仿宋_GB2312"/>
                <w:sz w:val="18"/>
              </w:rPr>
              <w:t>1、运维保障体系</w:t>
            </w:r>
          </w:p>
          <w:p>
            <w:pPr>
              <w:pStyle w:val="null3"/>
              <w:ind w:firstLine="360"/>
              <w:jc w:val="left"/>
            </w:pPr>
            <w:r>
              <w:rPr>
                <w:rFonts w:ascii="仿宋_GB2312" w:hAnsi="仿宋_GB2312" w:cs="仿宋_GB2312" w:eastAsia="仿宋_GB2312"/>
                <w:sz w:val="18"/>
              </w:rPr>
              <w:t>建立</w:t>
            </w:r>
            <w:r>
              <w:rPr>
                <w:rFonts w:ascii="仿宋_GB2312" w:hAnsi="仿宋_GB2312" w:cs="仿宋_GB2312" w:eastAsia="仿宋_GB2312"/>
                <w:sz w:val="18"/>
              </w:rPr>
              <w:t>“7×24小时多渠道响应机制”，开通专属热线电话、远程运维平台（支持远程桌面、日志查看）、企业微信/QQ即时通讯群、邮件、即时报单等服务通道。</w:t>
            </w:r>
          </w:p>
          <w:p>
            <w:pPr>
              <w:pStyle w:val="null3"/>
              <w:ind w:firstLine="360"/>
              <w:jc w:val="left"/>
            </w:pPr>
            <w:r>
              <w:rPr>
                <w:rFonts w:ascii="仿宋_GB2312" w:hAnsi="仿宋_GB2312" w:cs="仿宋_GB2312" w:eastAsia="仿宋_GB2312"/>
                <w:sz w:val="18"/>
              </w:rPr>
              <w:t>配备不少于</w:t>
            </w:r>
            <w:r>
              <w:rPr>
                <w:rFonts w:ascii="仿宋_GB2312" w:hAnsi="仿宋_GB2312" w:cs="仿宋_GB2312" w:eastAsia="仿宋_GB2312"/>
                <w:sz w:val="18"/>
              </w:rPr>
              <w:t>2名专职远程运维工程师，均需具备3年以上重庆中联HIS系统维护经验及重庆中联原厂认证资质，其中至少1名具备5年以上故障应急处置经验。</w:t>
            </w:r>
          </w:p>
          <w:p>
            <w:pPr>
              <w:pStyle w:val="null3"/>
              <w:ind w:firstLine="360"/>
              <w:jc w:val="left"/>
            </w:pPr>
            <w:r>
              <w:rPr>
                <w:rFonts w:ascii="仿宋_GB2312" w:hAnsi="仿宋_GB2312" w:cs="仿宋_GB2312" w:eastAsia="仿宋_GB2312"/>
                <w:sz w:val="18"/>
              </w:rPr>
              <w:t>2、故障分级响应与处置</w:t>
            </w:r>
          </w:p>
          <w:p>
            <w:pPr>
              <w:pStyle w:val="null3"/>
              <w:ind w:firstLine="360"/>
              <w:jc w:val="left"/>
            </w:pPr>
            <w:r>
              <w:rPr>
                <w:rFonts w:ascii="仿宋_GB2312" w:hAnsi="仿宋_GB2312" w:cs="仿宋_GB2312" w:eastAsia="仿宋_GB2312"/>
                <w:sz w:val="18"/>
              </w:rPr>
              <w:t>一级故障（系统瘫痪、核心业务中断）：</w:t>
            </w:r>
            <w:r>
              <w:rPr>
                <w:rFonts w:ascii="仿宋_GB2312" w:hAnsi="仿宋_GB2312" w:cs="仿宋_GB2312" w:eastAsia="仿宋_GB2312"/>
                <w:sz w:val="18"/>
              </w:rPr>
              <w:t>15分钟内响应，立即启动远程应急止损；远程无法解决时，3小时内工程师到达现场，故障恢复时间≤4小时；处置后24小时内提交《事件复盘报告》。</w:t>
            </w:r>
          </w:p>
          <w:p>
            <w:pPr>
              <w:pStyle w:val="null3"/>
              <w:ind w:firstLine="360"/>
              <w:jc w:val="left"/>
            </w:pPr>
            <w:r>
              <w:rPr>
                <w:rFonts w:ascii="仿宋_GB2312" w:hAnsi="仿宋_GB2312" w:cs="仿宋_GB2312" w:eastAsia="仿宋_GB2312"/>
                <w:sz w:val="18"/>
              </w:rPr>
              <w:t>二级故障（单个科室</w:t>
            </w:r>
            <w:r>
              <w:rPr>
                <w:rFonts w:ascii="仿宋_GB2312" w:hAnsi="仿宋_GB2312" w:cs="仿宋_GB2312" w:eastAsia="仿宋_GB2312"/>
                <w:sz w:val="18"/>
              </w:rPr>
              <w:t>/关键窗口核心功能异常）：30分钟内响应，优先远程处置；需现场支持时，6小时内工程师到达现场，故障恢复时间≤2小时。</w:t>
            </w:r>
          </w:p>
          <w:p>
            <w:pPr>
              <w:pStyle w:val="null3"/>
              <w:ind w:firstLine="360"/>
              <w:jc w:val="left"/>
            </w:pPr>
            <w:r>
              <w:rPr>
                <w:rFonts w:ascii="仿宋_GB2312" w:hAnsi="仿宋_GB2312" w:cs="仿宋_GB2312" w:eastAsia="仿宋_GB2312"/>
                <w:sz w:val="18"/>
              </w:rPr>
              <w:t>三级故障（局部功能异常、非核心参数调整）：</w:t>
            </w:r>
            <w:r>
              <w:rPr>
                <w:rFonts w:ascii="仿宋_GB2312" w:hAnsi="仿宋_GB2312" w:cs="仿宋_GB2312" w:eastAsia="仿宋_GB2312"/>
                <w:sz w:val="18"/>
              </w:rPr>
              <w:t>1小时内响应，24小时内远程解决或明确处置方案。</w:t>
            </w:r>
          </w:p>
          <w:p>
            <w:pPr>
              <w:pStyle w:val="null3"/>
              <w:ind w:firstLine="360"/>
              <w:jc w:val="left"/>
            </w:pPr>
            <w:r>
              <w:rPr>
                <w:rFonts w:ascii="仿宋_GB2312" w:hAnsi="仿宋_GB2312" w:cs="仿宋_GB2312" w:eastAsia="仿宋_GB2312"/>
                <w:sz w:val="18"/>
              </w:rPr>
              <w:t>四级故障（不影响业务的轻微问题）：</w:t>
            </w:r>
            <w:r>
              <w:rPr>
                <w:rFonts w:ascii="仿宋_GB2312" w:hAnsi="仿宋_GB2312" w:cs="仿宋_GB2312" w:eastAsia="仿宋_GB2312"/>
                <w:sz w:val="18"/>
              </w:rPr>
              <w:t>2个工作日内远程处理完毕。</w:t>
            </w:r>
          </w:p>
          <w:p>
            <w:pPr>
              <w:pStyle w:val="null3"/>
              <w:ind w:firstLine="360"/>
              <w:jc w:val="left"/>
            </w:pPr>
            <w:r>
              <w:rPr>
                <w:rFonts w:ascii="仿宋_GB2312" w:hAnsi="仿宋_GB2312" w:cs="仿宋_GB2312" w:eastAsia="仿宋_GB2312"/>
                <w:sz w:val="18"/>
              </w:rPr>
              <w:t>3、日常维护与系统优化</w:t>
            </w:r>
          </w:p>
          <w:p>
            <w:pPr>
              <w:pStyle w:val="null3"/>
              <w:ind w:firstLine="360"/>
              <w:jc w:val="left"/>
            </w:pPr>
            <w:r>
              <w:rPr>
                <w:rFonts w:ascii="仿宋_GB2312" w:hAnsi="仿宋_GB2312" w:cs="仿宋_GB2312" w:eastAsia="仿宋_GB2312"/>
                <w:sz w:val="18"/>
              </w:rPr>
              <w:t>基础维护：远程完成系统缺陷修复、数据字典动态更新（药品</w:t>
            </w:r>
            <w:r>
              <w:rPr>
                <w:rFonts w:ascii="仿宋_GB2312" w:hAnsi="仿宋_GB2312" w:cs="仿宋_GB2312" w:eastAsia="仿宋_GB2312"/>
                <w:sz w:val="18"/>
              </w:rPr>
              <w:t>/收费项目/诊疗项目等）、误操作数据修复、票据格式调整、常规统计报表修改；每月开展1次全系统远程巡检，输出巡检报告并跟踪隐患整改。</w:t>
            </w:r>
          </w:p>
          <w:p>
            <w:pPr>
              <w:pStyle w:val="null3"/>
              <w:ind w:firstLine="360"/>
              <w:jc w:val="left"/>
            </w:pPr>
            <w:r>
              <w:rPr>
                <w:rFonts w:ascii="仿宋_GB2312" w:hAnsi="仿宋_GB2312" w:cs="仿宋_GB2312" w:eastAsia="仿宋_GB2312"/>
                <w:sz w:val="18"/>
              </w:rPr>
              <w:t>系统优化：提供数据库远程性能调优（索引优化、连接池参数调整等）、业务流程适配调整服务；单个优化需求工作量</w:t>
            </w:r>
            <w:r>
              <w:rPr>
                <w:rFonts w:ascii="仿宋_GB2312" w:hAnsi="仿宋_GB2312" w:cs="仿宋_GB2312" w:eastAsia="仿宋_GB2312"/>
                <w:sz w:val="18"/>
              </w:rPr>
              <w:t>≤3个工作日的免费提供，年度累计不少于5项有效功能优化。</w:t>
            </w:r>
          </w:p>
          <w:p>
            <w:pPr>
              <w:pStyle w:val="null3"/>
              <w:ind w:firstLine="360"/>
              <w:jc w:val="left"/>
            </w:pPr>
            <w:r>
              <w:rPr>
                <w:rFonts w:ascii="仿宋_GB2312" w:hAnsi="仿宋_GB2312" w:cs="仿宋_GB2312" w:eastAsia="仿宋_GB2312"/>
                <w:sz w:val="18"/>
              </w:rPr>
              <w:t>版本升级：提供重庆中联原厂合规的缺陷修复补丁及功能升级包，远程指导测试环境验证并出具测试报告，在非诊疗高峰时段协助完成升级。</w:t>
            </w:r>
          </w:p>
          <w:p>
            <w:pPr>
              <w:pStyle w:val="null3"/>
              <w:ind w:firstLine="360"/>
              <w:jc w:val="left"/>
            </w:pPr>
            <w:r>
              <w:rPr>
                <w:rFonts w:ascii="仿宋_GB2312" w:hAnsi="仿宋_GB2312" w:cs="仿宋_GB2312" w:eastAsia="仿宋_GB2312"/>
                <w:sz w:val="18"/>
              </w:rPr>
              <w:t>4、应急与数据安全保障</w:t>
            </w:r>
          </w:p>
          <w:p>
            <w:pPr>
              <w:pStyle w:val="null3"/>
              <w:ind w:firstLine="360"/>
              <w:jc w:val="left"/>
            </w:pPr>
            <w:r>
              <w:rPr>
                <w:rFonts w:ascii="仿宋_GB2312" w:hAnsi="仿宋_GB2312" w:cs="仿宋_GB2312" w:eastAsia="仿宋_GB2312"/>
                <w:sz w:val="18"/>
              </w:rPr>
              <w:t>协助完善《</w:t>
            </w:r>
            <w:r>
              <w:rPr>
                <w:rFonts w:ascii="仿宋_GB2312" w:hAnsi="仿宋_GB2312" w:cs="仿宋_GB2312" w:eastAsia="仿宋_GB2312"/>
                <w:sz w:val="18"/>
              </w:rPr>
              <w:t>HIS系统应急预案》，每半年远程配合开展1次应急演练（含系统宕机、数据异常等场景）。</w:t>
            </w:r>
          </w:p>
          <w:p>
            <w:pPr>
              <w:pStyle w:val="null3"/>
              <w:ind w:firstLine="360"/>
              <w:jc w:val="left"/>
            </w:pPr>
            <w:r>
              <w:rPr>
                <w:rFonts w:ascii="仿宋_GB2312" w:hAnsi="仿宋_GB2312" w:cs="仿宋_GB2312" w:eastAsia="仿宋_GB2312"/>
                <w:sz w:val="18"/>
              </w:rPr>
              <w:t>指导落实每日增量备份与每周全量备份策略，每季度协助完成备份数据恢复测试，确保恢复成功率</w:t>
            </w:r>
            <w:r>
              <w:rPr>
                <w:rFonts w:ascii="仿宋_GB2312" w:hAnsi="仿宋_GB2312" w:cs="仿宋_GB2312" w:eastAsia="仿宋_GB2312"/>
                <w:sz w:val="18"/>
              </w:rPr>
              <w:t>100%；配合落实数据加密传输规范，敏感信息按要求脱敏。</w:t>
            </w:r>
          </w:p>
          <w:p>
            <w:pPr>
              <w:pStyle w:val="null3"/>
              <w:ind w:firstLine="360"/>
              <w:jc w:val="left"/>
            </w:pPr>
            <w:r>
              <w:rPr>
                <w:rFonts w:ascii="仿宋_GB2312" w:hAnsi="仿宋_GB2312" w:cs="仿宋_GB2312" w:eastAsia="仿宋_GB2312"/>
                <w:sz w:val="18"/>
              </w:rPr>
              <w:t>（二）接口打包服务（合同期内全流程免费）</w:t>
            </w:r>
          </w:p>
          <w:p>
            <w:pPr>
              <w:pStyle w:val="null3"/>
              <w:ind w:firstLine="360"/>
              <w:jc w:val="left"/>
            </w:pPr>
            <w:r>
              <w:rPr>
                <w:rFonts w:ascii="仿宋_GB2312" w:hAnsi="仿宋_GB2312" w:cs="仿宋_GB2312" w:eastAsia="仿宋_GB2312"/>
                <w:sz w:val="18"/>
              </w:rPr>
              <w:t>1、服务范围</w:t>
            </w:r>
          </w:p>
          <w:p>
            <w:pPr>
              <w:pStyle w:val="null3"/>
              <w:ind w:firstLine="360"/>
              <w:jc w:val="left"/>
            </w:pPr>
            <w:r>
              <w:rPr>
                <w:rFonts w:ascii="仿宋_GB2312" w:hAnsi="仿宋_GB2312" w:cs="仿宋_GB2312" w:eastAsia="仿宋_GB2312"/>
                <w:sz w:val="18"/>
              </w:rPr>
              <w:t>政策性接口对接：覆盖国家、省、市各级医保局、卫健委、财政局、民政局等党政机关文件要求的接口，含医保</w:t>
            </w:r>
            <w:r>
              <w:rPr>
                <w:rFonts w:ascii="仿宋_GB2312" w:hAnsi="仿宋_GB2312" w:cs="仿宋_GB2312" w:eastAsia="仿宋_GB2312"/>
                <w:sz w:val="18"/>
              </w:rPr>
              <w:t>DRG/DIP支付标准适配、医保目录调整对接、医疗数据上报（HQMS、公立医院绩效考核等）、电子医保凭证升级等。</w:t>
            </w:r>
          </w:p>
          <w:p>
            <w:pPr>
              <w:pStyle w:val="null3"/>
              <w:ind w:firstLine="360"/>
              <w:jc w:val="left"/>
            </w:pPr>
            <w:r>
              <w:rPr>
                <w:rFonts w:ascii="仿宋_GB2312" w:hAnsi="仿宋_GB2312" w:cs="仿宋_GB2312" w:eastAsia="仿宋_GB2312"/>
                <w:sz w:val="18"/>
              </w:rPr>
              <w:t>第三方系统对接：医院新增第三方系统与</w:t>
            </w:r>
            <w:r>
              <w:rPr>
                <w:rFonts w:ascii="仿宋_GB2312" w:hAnsi="仿宋_GB2312" w:cs="仿宋_GB2312" w:eastAsia="仿宋_GB2312"/>
                <w:sz w:val="18"/>
              </w:rPr>
              <w:t>HIS系统的接口，含临床医技类（LIS/PACS升级、心电网络等）、运营类（成本核算、绩效考评等）、服务类（微信小程序、自助机、预约挂号平台等）系统对接。</w:t>
            </w:r>
          </w:p>
          <w:p>
            <w:pPr>
              <w:pStyle w:val="null3"/>
              <w:ind w:firstLine="360"/>
              <w:jc w:val="left"/>
            </w:pPr>
            <w:r>
              <w:rPr>
                <w:rFonts w:ascii="仿宋_GB2312" w:hAnsi="仿宋_GB2312" w:cs="仿宋_GB2312" w:eastAsia="仿宋_GB2312"/>
                <w:sz w:val="18"/>
              </w:rPr>
              <w:t>不含范围：第三方系统自身功能开发、硬件采购及院方自建系统间的接口对接。</w:t>
            </w:r>
          </w:p>
          <w:p>
            <w:pPr>
              <w:pStyle w:val="null3"/>
              <w:ind w:firstLine="360"/>
              <w:jc w:val="left"/>
            </w:pPr>
            <w:r>
              <w:rPr>
                <w:rFonts w:ascii="仿宋_GB2312" w:hAnsi="仿宋_GB2312" w:cs="仿宋_GB2312" w:eastAsia="仿宋_GB2312"/>
                <w:sz w:val="18"/>
              </w:rPr>
              <w:t>2、服务内容与技术标准</w:t>
            </w:r>
          </w:p>
          <w:p>
            <w:pPr>
              <w:pStyle w:val="null3"/>
              <w:ind w:firstLine="360"/>
              <w:jc w:val="left"/>
            </w:pPr>
            <w:r>
              <w:rPr>
                <w:rFonts w:ascii="仿宋_GB2312" w:hAnsi="仿宋_GB2312" w:cs="仿宋_GB2312" w:eastAsia="仿宋_GB2312"/>
                <w:sz w:val="18"/>
              </w:rPr>
              <w:t>全流程服务：负责接口需求远程调研、方案设计、开发调试、远程联调上线及后续运维，协调重庆中联原厂及第三方系统厂商完成技术对接，甲方仅提供必要业务配合。</w:t>
            </w:r>
          </w:p>
          <w:p>
            <w:pPr>
              <w:pStyle w:val="null3"/>
              <w:ind w:firstLine="360"/>
              <w:jc w:val="left"/>
            </w:pPr>
            <w:r>
              <w:rPr>
                <w:rFonts w:ascii="仿宋_GB2312" w:hAnsi="仿宋_GB2312" w:cs="仿宋_GB2312" w:eastAsia="仿宋_GB2312"/>
                <w:sz w:val="18"/>
              </w:rPr>
              <w:t>技术规范：接口设计遵循</w:t>
            </w:r>
            <w:r>
              <w:rPr>
                <w:rFonts w:ascii="仿宋_GB2312" w:hAnsi="仿宋_GB2312" w:cs="仿宋_GB2312" w:eastAsia="仿宋_GB2312"/>
                <w:sz w:val="18"/>
              </w:rPr>
              <w:t>RESTfulAPI、HL7V2.x等国际协议，采用XML/JSON数据格式及HTTPS（TLS1.3）加密传输；建立接口日志审计与实时监控机制，日志留存≥6个月。</w:t>
            </w:r>
          </w:p>
          <w:p>
            <w:pPr>
              <w:pStyle w:val="null3"/>
              <w:ind w:firstLine="360"/>
              <w:jc w:val="left"/>
            </w:pPr>
            <w:r>
              <w:rPr>
                <w:rFonts w:ascii="仿宋_GB2312" w:hAnsi="仿宋_GB2312" w:cs="仿宋_GB2312" w:eastAsia="仿宋_GB2312"/>
                <w:sz w:val="18"/>
              </w:rPr>
              <w:t>兼容性保障：接口开发适配重庆中联</w:t>
            </w:r>
            <w:r>
              <w:rPr>
                <w:rFonts w:ascii="仿宋_GB2312" w:hAnsi="仿宋_GB2312" w:cs="仿宋_GB2312" w:eastAsia="仿宋_GB2312"/>
                <w:sz w:val="18"/>
              </w:rPr>
              <w:t>HIS系统数据结构与核心逻辑，上线前完成功能及压力测试，避免影响原有系统功能。</w:t>
            </w:r>
          </w:p>
          <w:p>
            <w:pPr>
              <w:pStyle w:val="null3"/>
              <w:ind w:firstLine="360"/>
              <w:jc w:val="left"/>
            </w:pPr>
            <w:r>
              <w:rPr>
                <w:rFonts w:ascii="仿宋_GB2312" w:hAnsi="仿宋_GB2312" w:cs="仿宋_GB2312" w:eastAsia="仿宋_GB2312"/>
                <w:sz w:val="18"/>
              </w:rPr>
              <w:t>3、响应时效与交付要求</w:t>
            </w:r>
          </w:p>
          <w:p>
            <w:pPr>
              <w:pStyle w:val="null3"/>
              <w:ind w:firstLine="360"/>
              <w:jc w:val="left"/>
            </w:pPr>
            <w:r>
              <w:rPr>
                <w:rFonts w:ascii="仿宋_GB2312" w:hAnsi="仿宋_GB2312" w:cs="仿宋_GB2312" w:eastAsia="仿宋_GB2312"/>
                <w:sz w:val="18"/>
              </w:rPr>
              <w:t>政策性接口：接到正式政策文件后</w:t>
            </w:r>
            <w:r>
              <w:rPr>
                <w:rFonts w:ascii="仿宋_GB2312" w:hAnsi="仿宋_GB2312" w:cs="仿宋_GB2312" w:eastAsia="仿宋_GB2312"/>
                <w:sz w:val="18"/>
              </w:rPr>
              <w:t>1个工作日内出具对接方案，按文件要求时限完成开发上线。</w:t>
            </w:r>
          </w:p>
          <w:p>
            <w:pPr>
              <w:pStyle w:val="null3"/>
              <w:ind w:firstLine="360"/>
              <w:jc w:val="left"/>
            </w:pPr>
            <w:r>
              <w:rPr>
                <w:rFonts w:ascii="仿宋_GB2312" w:hAnsi="仿宋_GB2312" w:cs="仿宋_GB2312" w:eastAsia="仿宋_GB2312"/>
                <w:sz w:val="18"/>
              </w:rPr>
              <w:t>第三方接口：接到甲方需求后</w:t>
            </w:r>
            <w:r>
              <w:rPr>
                <w:rFonts w:ascii="仿宋_GB2312" w:hAnsi="仿宋_GB2312" w:cs="仿宋_GB2312" w:eastAsia="仿宋_GB2312"/>
                <w:sz w:val="18"/>
              </w:rPr>
              <w:t>3个工作日内出具可行性方案，单个接口上线周期原则上≤15个工作日。</w:t>
            </w:r>
          </w:p>
          <w:p>
            <w:pPr>
              <w:pStyle w:val="null3"/>
              <w:ind w:firstLine="360"/>
              <w:jc w:val="left"/>
            </w:pPr>
            <w:r>
              <w:rPr>
                <w:rFonts w:ascii="仿宋_GB2312" w:hAnsi="仿宋_GB2312" w:cs="仿宋_GB2312" w:eastAsia="仿宋_GB2312"/>
                <w:sz w:val="18"/>
              </w:rPr>
              <w:t>文档交付：每个接口上线后</w:t>
            </w:r>
            <w:r>
              <w:rPr>
                <w:rFonts w:ascii="仿宋_GB2312" w:hAnsi="仿宋_GB2312" w:cs="仿宋_GB2312" w:eastAsia="仿宋_GB2312"/>
                <w:sz w:val="18"/>
              </w:rPr>
              <w:t>1周内提供完整技术文档（含设计说明书、参数列表、错误码定义、测试报告），年度末更新《HIS系统接口维护总手册》。</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渭南市第一医院</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合同签订之日起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运维期满</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政府采购法实施条例》释义，银行、保险、石油石化、电力、电信等有行业特殊情况的，允许法人的分支机构参加政府采购活动。2.中标（成交）供应商在中标（成交）结果公告发布后3个工作日内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供应商须提供合法有效，具有独立承担民事责任能力的证明材料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具有良好的商业信誉和健全的财务会计制度以及有依法缆纳税收和社会保障资金的良好记录(提供相关证明或承诺)</w:t>
            </w:r>
          </w:p>
        </w:tc>
        <w:tc>
          <w:tcPr>
            <w:tcW w:type="dxa" w:w="3322"/>
          </w:tcPr>
          <w:p>
            <w:pPr>
              <w:pStyle w:val="null3"/>
            </w:pPr>
            <w:r>
              <w:rPr>
                <w:rFonts w:ascii="仿宋_GB2312" w:hAnsi="仿宋_GB2312" w:cs="仿宋_GB2312" w:eastAsia="仿宋_GB2312"/>
              </w:rPr>
              <w:t>（1）财务状况报告：提供2024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 （2）社保缴纳证明：提供2025年1月1日至响应文件递交截止之日任意一个月的社会保障资金缴存单据或社保机构开具的社会保险参保缴费情况证明。依法不需要缴纳社会保障资金的供应商应提供相关证明文件； （3）税收缴纳证明：提供2025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 响应函 （政府采购二十二条）+拒绝贿赂承诺书+授权委托书+信用信息.docx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具有履行合同的说明及承诺</w:t>
            </w:r>
          </w:p>
        </w:tc>
        <w:tc>
          <w:tcPr>
            <w:tcW w:type="dxa" w:w="3322"/>
          </w:tcPr>
          <w:p>
            <w:pPr>
              <w:pStyle w:val="null3"/>
            </w:pPr>
            <w:r>
              <w:rPr>
                <w:rFonts w:ascii="仿宋_GB2312" w:hAnsi="仿宋_GB2312" w:cs="仿宋_GB2312" w:eastAsia="仿宋_GB2312"/>
              </w:rPr>
              <w:t>须提供具有履行本合同所必需的设备和专业技术能力的说明或承诺；（承诺函格式自拟）</w:t>
            </w:r>
          </w:p>
        </w:tc>
        <w:tc>
          <w:tcPr>
            <w:tcW w:type="dxa" w:w="1661"/>
          </w:tcPr>
          <w:p>
            <w:pPr>
              <w:pStyle w:val="null3"/>
            </w:pPr>
            <w:r>
              <w:rPr>
                <w:rFonts w:ascii="仿宋_GB2312" w:hAnsi="仿宋_GB2312" w:cs="仿宋_GB2312" w:eastAsia="仿宋_GB2312"/>
              </w:rPr>
              <w:t>供应商应提交的相关资格证明材料 响应函 （政府采购二十二条）+拒绝贿赂承诺书+授权委托书+信用信息.docx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须提供参加政府采购活动前三年内在经营活动中无重大违法记录的书面声明；（声明函格式自拟）</w:t>
            </w:r>
          </w:p>
        </w:tc>
        <w:tc>
          <w:tcPr>
            <w:tcW w:type="dxa" w:w="1661"/>
          </w:tcPr>
          <w:p>
            <w:pPr>
              <w:pStyle w:val="null3"/>
            </w:pPr>
            <w:r>
              <w:rPr>
                <w:rFonts w:ascii="仿宋_GB2312" w:hAnsi="仿宋_GB2312" w:cs="仿宋_GB2312" w:eastAsia="仿宋_GB2312"/>
              </w:rPr>
              <w:t>供应商应提交的相关资格证明材料 响应函 （政府采购二十二条）+拒绝贿赂承诺书+授权委托书+信用信息.docx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谈判保证金交纳凭证</w:t>
            </w:r>
          </w:p>
        </w:tc>
        <w:tc>
          <w:tcPr>
            <w:tcW w:type="dxa" w:w="3322"/>
          </w:tcPr>
          <w:p>
            <w:pPr>
              <w:pStyle w:val="null3"/>
            </w:pPr>
            <w:r>
              <w:rPr>
                <w:rFonts w:ascii="仿宋_GB2312" w:hAnsi="仿宋_GB2312" w:cs="仿宋_GB2312" w:eastAsia="仿宋_GB2312"/>
              </w:rPr>
              <w:t>谈判保证金交纳凭证</w:t>
            </w:r>
          </w:p>
        </w:tc>
        <w:tc>
          <w:tcPr>
            <w:tcW w:type="dxa" w:w="1661"/>
          </w:tcPr>
          <w:p>
            <w:pPr>
              <w:pStyle w:val="null3"/>
            </w:pPr>
            <w:r>
              <w:rPr>
                <w:rFonts w:ascii="仿宋_GB2312" w:hAnsi="仿宋_GB2312" w:cs="仿宋_GB2312" w:eastAsia="仿宋_GB2312"/>
              </w:rPr>
              <w:t>商务应答表 供应商应提交的相关资格证明材料 （政府采购二十二条）+拒绝贿赂承诺书+授权委托书+信用信息.docx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供应商不得为“信用中国”网站（www.creditchina.gov.cn）中列入失信被执行人和重大税收违法失信主体的供应商，不得为中国政府采购网（www.ccgp.gov.cn）中列入政府采购严重违法失信行为记录名单的供应商；</w:t>
            </w:r>
          </w:p>
        </w:tc>
        <w:tc>
          <w:tcPr>
            <w:tcW w:type="dxa" w:w="1661"/>
          </w:tcPr>
          <w:p>
            <w:pPr>
              <w:pStyle w:val="null3"/>
            </w:pPr>
            <w:r>
              <w:rPr>
                <w:rFonts w:ascii="仿宋_GB2312" w:hAnsi="仿宋_GB2312" w:cs="仿宋_GB2312" w:eastAsia="仿宋_GB2312"/>
              </w:rPr>
              <w:t>供应商应提交的相关资格证明材料 （政府采购二十二条）+拒绝贿赂承诺书+授权委托书+信用信息.docx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按采购文件要求进行签章</w:t>
            </w:r>
          </w:p>
        </w:tc>
        <w:tc>
          <w:tcPr>
            <w:tcW w:type="dxa" w:w="1661"/>
          </w:tcPr>
          <w:p>
            <w:pPr>
              <w:pStyle w:val="null3"/>
            </w:pPr>
            <w:r>
              <w:rPr>
                <w:rFonts w:ascii="仿宋_GB2312" w:hAnsi="仿宋_GB2312" w:cs="仿宋_GB2312" w:eastAsia="仿宋_GB2312"/>
              </w:rPr>
              <w:t>响应文件封面 服务内容及服务邀请应答表 商务应答表 服务方案 供应商应提交的相关资格证明材料 标的清单 报价表 响应函 （政府采购二十二条）+拒绝贿赂承诺书+授权委托书+信用信息.docx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报价没有超出最高限价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满足采购文件规定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满足采购文件规定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无其他作无效谈判处理的情况</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 （政府采购二十二条）+拒绝贿赂承诺书+授权委托书+信用信息.docx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详见附件：（政府采购二十二条）+拒绝贿赂承诺书+授权委托书+信用信息.docx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