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版本号：SXTW-2025-120920251212001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渭南市临渭区“一河(湖)一策”方案修编项目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SXTW-2025-1209</w:t>
      </w:r>
      <w:r>
        <w:br/>
      </w:r>
      <w:r>
        <w:br/>
      </w:r>
      <w:r>
        <w:br/>
      </w:r>
    </w:p>
    <w:p>
      <w:pPr>
        <w:pStyle w:val="null3"/>
        <w:jc w:val="center"/>
        <w:outlineLvl w:val="2"/>
      </w:pPr>
      <w:r>
        <w:rPr>
          <w:rFonts w:ascii="仿宋_GB2312" w:hAnsi="仿宋_GB2312" w:cs="仿宋_GB2312" w:eastAsia="仿宋_GB2312"/>
          <w:sz w:val="28"/>
          <w:b/>
        </w:rPr>
        <w:t>渭南市临渭区水务局</w:t>
      </w:r>
    </w:p>
    <w:p>
      <w:pPr>
        <w:pStyle w:val="null3"/>
        <w:jc w:val="center"/>
        <w:outlineLvl w:val="2"/>
      </w:pPr>
      <w:r>
        <w:rPr>
          <w:rFonts w:ascii="仿宋_GB2312" w:hAnsi="仿宋_GB2312" w:cs="仿宋_GB2312" w:eastAsia="仿宋_GB2312"/>
          <w:sz w:val="28"/>
          <w:b/>
        </w:rPr>
        <w:t>陕西侗伟项目管理有限公司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陕西侗伟项目管理有限公司</w:t>
      </w:r>
      <w:r>
        <w:rPr>
          <w:rFonts w:ascii="仿宋_GB2312" w:hAnsi="仿宋_GB2312" w:cs="仿宋_GB2312" w:eastAsia="仿宋_GB2312"/>
        </w:rPr>
        <w:t>（以下简称“代理机构”）受</w:t>
      </w:r>
      <w:r>
        <w:rPr>
          <w:rFonts w:ascii="仿宋_GB2312" w:hAnsi="仿宋_GB2312" w:cs="仿宋_GB2312" w:eastAsia="仿宋_GB2312"/>
        </w:rPr>
        <w:t>渭南市临渭区水务局</w:t>
      </w:r>
      <w:r>
        <w:rPr>
          <w:rFonts w:ascii="仿宋_GB2312" w:hAnsi="仿宋_GB2312" w:cs="仿宋_GB2312" w:eastAsia="仿宋_GB2312"/>
        </w:rPr>
        <w:t>委托，拟对</w:t>
      </w:r>
      <w:r>
        <w:rPr>
          <w:rFonts w:ascii="仿宋_GB2312" w:hAnsi="仿宋_GB2312" w:cs="仿宋_GB2312" w:eastAsia="仿宋_GB2312"/>
        </w:rPr>
        <w:t>渭南市临渭区“一河(湖)一策”方案修编项目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SXTW-2025-1209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渭南市临渭区“一河(湖)一策”方案修编项目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结合陕西省沋河幸福河湖建设项目终期验收指标，对我区渭河临渭段、沋河(含清水河)、赤水河、稠水河、零河、东干沟、西干沟及辖区内15座小型水库的“-河(湖)一策”方案进行系统性修编。</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采购包1（渭南市临渭区“一河(湖)一策”方案修编项目）：属于专门面向中小企业采购。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法人证书等证明文件：合法有效，具有独立承担民事责任的能力且具备向采购人提供相关服务的企业法人、其他组织或自然人；出具合法有效的营业执照或事业单位法人证书等国家规定的相关证明，自然人参与的提供其身份证明。</w:t>
      </w:r>
    </w:p>
    <w:p>
      <w:pPr>
        <w:pStyle w:val="null3"/>
      </w:pPr>
      <w:r>
        <w:rPr>
          <w:rFonts w:ascii="仿宋_GB2312" w:hAnsi="仿宋_GB2312" w:cs="仿宋_GB2312" w:eastAsia="仿宋_GB2312"/>
        </w:rPr>
        <w:t>2、资质要求：须具备工程设计综合甲级资质或工程设计水利行业乙级(含乙级)及以上资质。</w:t>
      </w:r>
    </w:p>
    <w:p>
      <w:pPr>
        <w:pStyle w:val="null3"/>
      </w:pPr>
      <w:r>
        <w:rPr>
          <w:rFonts w:ascii="仿宋_GB2312" w:hAnsi="仿宋_GB2312" w:cs="仿宋_GB2312" w:eastAsia="仿宋_GB2312"/>
        </w:rPr>
        <w:t>3、项目负责人：拟派项目负责人须具备相关专业高级工程师及以上职称</w:t>
      </w:r>
    </w:p>
    <w:p>
      <w:pPr>
        <w:pStyle w:val="null3"/>
      </w:pPr>
      <w:r>
        <w:rPr>
          <w:rFonts w:ascii="仿宋_GB2312" w:hAnsi="仿宋_GB2312" w:cs="仿宋_GB2312" w:eastAsia="仿宋_GB2312"/>
        </w:rPr>
        <w:t>4、法定代表人授权书/法定代表人身份证明书：法定代表人直接参加投标的，须提供法定代表人身份证明及其身份证扫描件；法定代表人授权他人参加投标的，须提供法定代表人身份证明及法定代表人授权委托书。</w:t>
      </w:r>
    </w:p>
    <w:p>
      <w:pPr>
        <w:pStyle w:val="null3"/>
      </w:pPr>
      <w:r>
        <w:rPr>
          <w:rFonts w:ascii="仿宋_GB2312" w:hAnsi="仿宋_GB2312" w:cs="仿宋_GB2312" w:eastAsia="仿宋_GB2312"/>
        </w:rPr>
        <w:t>5、财务状况报告：提供具有财务审计资质单位出具的2024年度财务审计报告（若成立时间至投标文件递交截止时间前不足一年的可提供成立后任意时段的资产负债表）或投标文件递交截止时间前六个月内其基本账户银行出具的资信证明（附基本账户证明）或政府采购信用担保机构出具的投标担保函。</w:t>
      </w:r>
    </w:p>
    <w:p>
      <w:pPr>
        <w:pStyle w:val="null3"/>
      </w:pPr>
      <w:r>
        <w:rPr>
          <w:rFonts w:ascii="仿宋_GB2312" w:hAnsi="仿宋_GB2312" w:cs="仿宋_GB2312" w:eastAsia="仿宋_GB2312"/>
        </w:rPr>
        <w:t>6、税收缴纳证明：提供递交投标文件截止之日前一年内任意一个月的依法缴纳税收的相关凭据(时间以税款所属日期为准、增值税、企业所得税至少提供一种)，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7、社会保障资金缴纳证明：提供递交投标文件截止之日前一年内任意一个月的社会保障资金缴存单据或社保机构开具的社会保险参保缴费情况证明；依法不需要缴纳社会保障资金的供应商应提供相关证明文件。</w:t>
      </w:r>
    </w:p>
    <w:p>
      <w:pPr>
        <w:pStyle w:val="null3"/>
      </w:pPr>
      <w:r>
        <w:rPr>
          <w:rFonts w:ascii="仿宋_GB2312" w:hAnsi="仿宋_GB2312" w:cs="仿宋_GB2312" w:eastAsia="仿宋_GB2312"/>
        </w:rPr>
        <w:t>8、具有履行合同的声明：提供具有履行本合同所必需的设备和专业技术能力的说明及承诺。</w:t>
      </w:r>
    </w:p>
    <w:p>
      <w:pPr>
        <w:pStyle w:val="null3"/>
      </w:pPr>
      <w:r>
        <w:rPr>
          <w:rFonts w:ascii="仿宋_GB2312" w:hAnsi="仿宋_GB2312" w:cs="仿宋_GB2312" w:eastAsia="仿宋_GB2312"/>
        </w:rPr>
        <w:t>9、无重大违法记录书面声明：参加政府采购活动前三年内在经营活动中无重大违法记录的书面声明。</w:t>
      </w:r>
    </w:p>
    <w:p>
      <w:pPr>
        <w:pStyle w:val="null3"/>
      </w:pPr>
      <w:r>
        <w:rPr>
          <w:rFonts w:ascii="仿宋_GB2312" w:hAnsi="仿宋_GB2312" w:cs="仿宋_GB2312" w:eastAsia="仿宋_GB2312"/>
        </w:rPr>
        <w:t>10、信誉信息：投标人不得为“信用中国”网站（www.creditchina.gov.cn）中列入重大税收违法失信主体的投标人；不得为“中国执行信息公开网”（http：//zxgk.court.gov.cn）中列入失信被执行人名单的投标人；不得为“中国政府采购网”（www.ccgp.gov.cn）政府采购严重违法失信行为记录名单中被财政部门禁止参加政府采购活动的投标人。</w:t>
      </w:r>
    </w:p>
    <w:p>
      <w:pPr>
        <w:pStyle w:val="null3"/>
      </w:pPr>
      <w:r>
        <w:rPr>
          <w:rFonts w:ascii="仿宋_GB2312" w:hAnsi="仿宋_GB2312" w:cs="仿宋_GB2312" w:eastAsia="仿宋_GB2312"/>
        </w:rPr>
        <w:t>11、无控股、管理承诺：单位负责人为同一人或者存在直接控股、管理关系的不同投标人，不得同时参加同一合同项下的政府采购活动。</w:t>
      </w:r>
    </w:p>
    <w:p>
      <w:pPr>
        <w:pStyle w:val="null3"/>
      </w:pPr>
      <w:r>
        <w:rPr>
          <w:rFonts w:ascii="仿宋_GB2312" w:hAnsi="仿宋_GB2312" w:cs="仿宋_GB2312" w:eastAsia="仿宋_GB2312"/>
        </w:rPr>
        <w:t>12、联合体投标：本项目不接受联合体投标，提供非联合体声明。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渭南市临渭区水务局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临渭区行政中心83号7号楼5楼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0913-3031986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陕西侗伟项目管理有限公司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陕西省渭南市临渭区胜利大街与前进路十字西200米路南雅馨花园C座C08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马倩倩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13310933306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吕工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开户名称：陕西侗伟项目管理有限公司</w:t>
            </w:r>
          </w:p>
          <w:p>
            <w:pPr>
              <w:pStyle w:val="null3"/>
            </w:pPr>
            <w:r>
              <w:rPr>
                <w:rFonts w:ascii="仿宋_GB2312" w:hAnsi="仿宋_GB2312" w:cs="仿宋_GB2312" w:eastAsia="仿宋_GB2312"/>
              </w:rPr>
              <w:t>开户银行：中国建设银行股份有限公司渭南前进路支行</w:t>
            </w:r>
          </w:p>
          <w:p>
            <w:pPr>
              <w:pStyle w:val="null3"/>
            </w:pPr>
            <w:r>
              <w:rPr>
                <w:rFonts w:ascii="仿宋_GB2312" w:hAnsi="仿宋_GB2312" w:cs="仿宋_GB2312" w:eastAsia="仿宋_GB2312"/>
              </w:rPr>
              <w:t>银行账号：6105 0164 1600 0000 1333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由中标单位支付，按照《关于进一步放开建设项目专业服务价格的通知》（发改价格〔2015〕299号）的要求，参考《国家计委关于印发招标代理服务收费管理暂行办法的通知》（计价格）〔2002〕1980号文件规定的计费标准计取。 2.由中标单位在领取中标通知书前，须向采购代理机构一次性支付招标代理服务费。 3.采购代理服务费账户 户 名：陕西侗伟项目管理有限公司 账 号：6105 0164 1400 0000 0348 开户银行：中国建设银行股份有限公司渭南胜利大街支行。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渭南市临渭区水务局</w:t>
      </w:r>
      <w:r>
        <w:rPr>
          <w:rFonts w:ascii="仿宋_GB2312" w:hAnsi="仿宋_GB2312" w:cs="仿宋_GB2312" w:eastAsia="仿宋_GB2312"/>
        </w:rPr>
        <w:t>和</w:t>
      </w:r>
      <w:r>
        <w:rPr>
          <w:rFonts w:ascii="仿宋_GB2312" w:hAnsi="仿宋_GB2312" w:cs="仿宋_GB2312" w:eastAsia="仿宋_GB2312"/>
        </w:rPr>
        <w:t>陕西侗伟项目管理有限公司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渭南市临渭区水务局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陕西侗伟项目管理有限公司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渭南市临渭区水务局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陕西侗伟项目管理有限公司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按招标文件、投标文件及澄清函、项目检查情况等综合指标进行验收。各项指标均应符合验收标准及要求。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陕西侗伟项目管理有限公司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陕西侗伟项目管理有限公司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陕西侗伟项目管理有限公司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联系人：马倩倩</w:t>
      </w:r>
    </w:p>
    <w:p>
      <w:pPr>
        <w:pStyle w:val="null3"/>
      </w:pPr>
      <w:r>
        <w:rPr>
          <w:rFonts w:ascii="仿宋_GB2312" w:hAnsi="仿宋_GB2312" w:cs="仿宋_GB2312" w:eastAsia="仿宋_GB2312"/>
        </w:rPr>
        <w:t>联系电话：13310933306</w:t>
      </w:r>
    </w:p>
    <w:p>
      <w:pPr>
        <w:pStyle w:val="null3"/>
      </w:pPr>
      <w:r>
        <w:rPr>
          <w:rFonts w:ascii="仿宋_GB2312" w:hAnsi="仿宋_GB2312" w:cs="仿宋_GB2312" w:eastAsia="仿宋_GB2312"/>
        </w:rPr>
        <w:t>地址：渭南市胜利大街与前进路十字西200米（雅馨花园C座东二楼）</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结合陕西省沋河幸福河湖建设项目终期验收指标，对我区渭河临渭段、沋河(含清水河)、赤水河、稠水河、零河、东干沟、西干沟及辖区内15座小型水库的“-河(湖)一策”方案进行系统性修编。</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渭南市临渭区“一河(湖)一策”方案修编项目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标的名称：渭南市临渭区“一河(湖)一策”方案修编项目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一、基本要求</w:t>
            </w:r>
          </w:p>
          <w:p>
            <w:pPr>
              <w:pStyle w:val="null3"/>
            </w:pPr>
            <w:r>
              <w:rPr>
                <w:rFonts w:ascii="仿宋_GB2312" w:hAnsi="仿宋_GB2312" w:cs="仿宋_GB2312" w:eastAsia="仿宋_GB2312"/>
              </w:rPr>
              <w:t>1、功能要求：</w:t>
            </w:r>
            <w:r>
              <w:rPr>
                <w:rFonts w:ascii="仿宋_GB2312" w:hAnsi="仿宋_GB2312" w:cs="仿宋_GB2312" w:eastAsia="仿宋_GB2312"/>
              </w:rPr>
              <w:t>结合陕西省沋河幸福河湖建设项目终期验收指标，对我区渭河临渭段、沋河</w:t>
            </w:r>
            <w:r>
              <w:rPr>
                <w:rFonts w:ascii="仿宋_GB2312" w:hAnsi="仿宋_GB2312" w:cs="仿宋_GB2312" w:eastAsia="仿宋_GB2312"/>
              </w:rPr>
              <w:t>(含清水河)、赤水河、稠水河、零河、东干沟、西干沟及辖区内15座小型水库的“-河(湖)一策”方案进行系统性修编</w:t>
            </w:r>
            <w:r>
              <w:rPr>
                <w:rFonts w:ascii="仿宋_GB2312" w:hAnsi="仿宋_GB2312" w:cs="仿宋_GB2312" w:eastAsia="仿宋_GB2312"/>
              </w:rPr>
              <w:t>。</w:t>
            </w:r>
          </w:p>
          <w:p>
            <w:pPr>
              <w:pStyle w:val="null3"/>
            </w:pPr>
            <w:r>
              <w:rPr>
                <w:rFonts w:ascii="仿宋_GB2312" w:hAnsi="仿宋_GB2312" w:cs="仿宋_GB2312" w:eastAsia="仿宋_GB2312"/>
              </w:rPr>
              <w:t>2、具体要求</w:t>
            </w:r>
          </w:p>
          <w:p>
            <w:pPr>
              <w:pStyle w:val="null3"/>
            </w:pPr>
            <w:r>
              <w:rPr>
                <w:rFonts w:ascii="仿宋_GB2312" w:hAnsi="仿宋_GB2312" w:cs="仿宋_GB2312" w:eastAsia="仿宋_GB2312"/>
              </w:rPr>
              <w:t>（</w:t>
            </w:r>
            <w:r>
              <w:rPr>
                <w:rFonts w:ascii="仿宋_GB2312" w:hAnsi="仿宋_GB2312" w:cs="仿宋_GB2312" w:eastAsia="仿宋_GB2312"/>
              </w:rPr>
              <w:t>1）</w:t>
            </w:r>
            <w:r>
              <w:rPr>
                <w:rFonts w:ascii="仿宋_GB2312" w:hAnsi="仿宋_GB2312" w:cs="仿宋_GB2312" w:eastAsia="仿宋_GB2312"/>
              </w:rPr>
              <w:t>满足渭南市临渭区</w:t>
            </w:r>
            <w:r>
              <w:rPr>
                <w:rFonts w:ascii="仿宋_GB2312" w:hAnsi="仿宋_GB2312" w:cs="仿宋_GB2312" w:eastAsia="仿宋_GB2312"/>
              </w:rPr>
              <w:t>“一河（湖）一策”方案编制要求；</w:t>
            </w:r>
          </w:p>
          <w:p>
            <w:pPr>
              <w:pStyle w:val="null3"/>
            </w:pPr>
            <w:r>
              <w:rPr>
                <w:rFonts w:ascii="仿宋_GB2312" w:hAnsi="仿宋_GB2312" w:cs="仿宋_GB2312" w:eastAsia="仿宋_GB2312"/>
              </w:rPr>
              <w:t>（</w:t>
            </w:r>
            <w:r>
              <w:rPr>
                <w:rFonts w:ascii="仿宋_GB2312" w:hAnsi="仿宋_GB2312" w:cs="仿宋_GB2312" w:eastAsia="仿宋_GB2312"/>
              </w:rPr>
              <w:t>2）</w:t>
            </w:r>
            <w:r>
              <w:rPr>
                <w:rFonts w:ascii="仿宋_GB2312" w:hAnsi="仿宋_GB2312" w:cs="仿宋_GB2312" w:eastAsia="仿宋_GB2312"/>
              </w:rPr>
              <w:t>在服务范围内按工作内容和要求制定详细的方案，方案科学、合理、可靠。</w:t>
            </w:r>
          </w:p>
          <w:p>
            <w:pPr>
              <w:pStyle w:val="null3"/>
            </w:pPr>
            <w:r>
              <w:rPr>
                <w:rFonts w:ascii="仿宋_GB2312" w:hAnsi="仿宋_GB2312" w:cs="仿宋_GB2312" w:eastAsia="仿宋_GB2312"/>
              </w:rPr>
              <w:t>（</w:t>
            </w:r>
            <w:r>
              <w:rPr>
                <w:rFonts w:ascii="仿宋_GB2312" w:hAnsi="仿宋_GB2312" w:cs="仿宋_GB2312" w:eastAsia="仿宋_GB2312"/>
              </w:rPr>
              <w:t>3）</w:t>
            </w:r>
            <w:r>
              <w:rPr>
                <w:rFonts w:ascii="仿宋_GB2312" w:hAnsi="仿宋_GB2312" w:cs="仿宋_GB2312" w:eastAsia="仿宋_GB2312"/>
              </w:rPr>
              <w:t>人员配备合理。有针对本项目的专项服务小组，项目负责人、工作人员分工明确（应有具体成员名单，包括姓名、工作职责等）</w:t>
            </w:r>
          </w:p>
          <w:p>
            <w:pPr>
              <w:pStyle w:val="null3"/>
            </w:pPr>
            <w:r>
              <w:rPr>
                <w:rFonts w:ascii="仿宋_GB2312" w:hAnsi="仿宋_GB2312" w:cs="仿宋_GB2312" w:eastAsia="仿宋_GB2312"/>
              </w:rPr>
              <w:t>（</w:t>
            </w:r>
            <w:r>
              <w:rPr>
                <w:rFonts w:ascii="仿宋_GB2312" w:hAnsi="仿宋_GB2312" w:cs="仿宋_GB2312" w:eastAsia="仿宋_GB2312"/>
              </w:rPr>
              <w:t>4）</w:t>
            </w:r>
            <w:r>
              <w:rPr>
                <w:rFonts w:ascii="仿宋_GB2312" w:hAnsi="仿宋_GB2312" w:cs="仿宋_GB2312" w:eastAsia="仿宋_GB2312"/>
              </w:rPr>
              <w:t>有各类突发事件的应急预案和措施，有明确具体的承诺。</w:t>
            </w:r>
          </w:p>
          <w:p>
            <w:pPr>
              <w:pStyle w:val="null3"/>
            </w:pPr>
            <w:r>
              <w:rPr>
                <w:rFonts w:ascii="仿宋_GB2312" w:hAnsi="仿宋_GB2312" w:cs="仿宋_GB2312" w:eastAsia="仿宋_GB2312"/>
              </w:rPr>
              <w:t>（</w:t>
            </w:r>
            <w:r>
              <w:rPr>
                <w:rFonts w:ascii="仿宋_GB2312" w:hAnsi="仿宋_GB2312" w:cs="仿宋_GB2312" w:eastAsia="仿宋_GB2312"/>
              </w:rPr>
              <w:t>5）</w:t>
            </w:r>
            <w:r>
              <w:rPr>
                <w:rFonts w:ascii="仿宋_GB2312" w:hAnsi="仿宋_GB2312" w:cs="仿宋_GB2312" w:eastAsia="仿宋_GB2312"/>
              </w:rPr>
              <w:t>供应商所拟派的工作人员，若在服务期间发生任何伤害，采购人概不负责，由供应商自行处理</w:t>
            </w:r>
            <w:r>
              <w:rPr>
                <w:rFonts w:ascii="仿宋_GB2312" w:hAnsi="仿宋_GB2312" w:cs="仿宋_GB2312" w:eastAsia="仿宋_GB2312"/>
              </w:rPr>
              <w:t>。</w:t>
            </w:r>
          </w:p>
          <w:p>
            <w:pPr>
              <w:pStyle w:val="null3"/>
            </w:pPr>
            <w:r>
              <w:rPr>
                <w:rFonts w:ascii="仿宋_GB2312" w:hAnsi="仿宋_GB2312" w:cs="仿宋_GB2312" w:eastAsia="仿宋_GB2312"/>
              </w:rPr>
              <w:t>二、需执行的国家相关标准、行业标准、地方标准或者其他标准、规范标准</w:t>
            </w:r>
          </w:p>
          <w:p>
            <w:pPr>
              <w:pStyle w:val="null3"/>
            </w:pPr>
            <w:r>
              <w:rPr>
                <w:rFonts w:ascii="仿宋_GB2312" w:hAnsi="仿宋_GB2312" w:cs="仿宋_GB2312" w:eastAsia="仿宋_GB2312"/>
              </w:rPr>
              <w:t>供应商在服务工作中必须使用下述标准、规范</w:t>
            </w:r>
            <w:r>
              <w:rPr>
                <w:rFonts w:ascii="仿宋_GB2312" w:hAnsi="仿宋_GB2312" w:cs="仿宋_GB2312" w:eastAsia="仿宋_GB2312"/>
              </w:rPr>
              <w:t>(不限于)：</w:t>
            </w:r>
          </w:p>
          <w:p>
            <w:pPr>
              <w:pStyle w:val="null3"/>
            </w:pPr>
            <w:r>
              <w:rPr>
                <w:rFonts w:ascii="仿宋_GB2312" w:hAnsi="仿宋_GB2312" w:cs="仿宋_GB2312" w:eastAsia="仿宋_GB2312"/>
              </w:rPr>
              <w:t>1、中共中央办公厅、国务院办公厅《关于全面推行河长制的意见》《关于在湖泊实施湖长制的指导意见》</w:t>
            </w:r>
          </w:p>
          <w:p>
            <w:pPr>
              <w:pStyle w:val="null3"/>
            </w:pPr>
            <w:r>
              <w:rPr>
                <w:rFonts w:ascii="仿宋_GB2312" w:hAnsi="仿宋_GB2312" w:cs="仿宋_GB2312" w:eastAsia="仿宋_GB2312"/>
              </w:rPr>
              <w:t>2、水利部、环境保护部贯彻落实《关于全面推行河长制的意见实施方案》；</w:t>
            </w:r>
          </w:p>
          <w:p>
            <w:pPr>
              <w:pStyle w:val="null3"/>
            </w:pPr>
            <w:r>
              <w:rPr>
                <w:rFonts w:ascii="仿宋_GB2312" w:hAnsi="仿宋_GB2312" w:cs="仿宋_GB2312" w:eastAsia="仿宋_GB2312"/>
              </w:rPr>
              <w:t>3、水利部办公厅“一河（湖）一策”方案编制指南（试</w:t>
            </w:r>
            <w:r>
              <w:rPr>
                <w:rFonts w:ascii="仿宋_GB2312" w:hAnsi="仿宋_GB2312" w:cs="仿宋_GB2312" w:eastAsia="仿宋_GB2312"/>
              </w:rPr>
              <w:t>行）；</w:t>
            </w:r>
          </w:p>
          <w:p>
            <w:pPr>
              <w:pStyle w:val="null3"/>
            </w:pPr>
            <w:r>
              <w:rPr>
                <w:rFonts w:ascii="仿宋_GB2312" w:hAnsi="仿宋_GB2312" w:cs="仿宋_GB2312" w:eastAsia="仿宋_GB2312"/>
              </w:rPr>
              <w:t>4、陕西省人民政府《关于全面推行河长制的实施方案》、《关于实施湖长制的意见》；</w:t>
            </w:r>
          </w:p>
          <w:p>
            <w:pPr>
              <w:pStyle w:val="null3"/>
            </w:pPr>
            <w:r>
              <w:rPr>
                <w:rFonts w:ascii="仿宋_GB2312" w:hAnsi="仿宋_GB2312" w:cs="仿宋_GB2312" w:eastAsia="仿宋_GB2312"/>
              </w:rPr>
              <w:t>5、陕西河长办《关于开展河湖岸线保护与利用规划评估、“一河（湖）一策”实施方案修编等工作的通知》</w:t>
            </w:r>
          </w:p>
          <w:p>
            <w:pPr>
              <w:pStyle w:val="null3"/>
            </w:pPr>
            <w:r>
              <w:rPr>
                <w:rFonts w:ascii="仿宋_GB2312" w:hAnsi="仿宋_GB2312" w:cs="仿宋_GB2312" w:eastAsia="仿宋_GB2312"/>
              </w:rPr>
              <w:t>6、《关于印发2024年各市区河湖长制工作目标任务的通知》等文件要求</w:t>
            </w:r>
          </w:p>
          <w:p>
            <w:pPr>
              <w:pStyle w:val="null3"/>
            </w:pPr>
            <w:r>
              <w:rPr>
                <w:rFonts w:ascii="仿宋_GB2312" w:hAnsi="仿宋_GB2312" w:cs="仿宋_GB2312" w:eastAsia="仿宋_GB2312"/>
              </w:rPr>
              <w:t>7、《2025年各市区河湖长制工作任务》的通知</w:t>
            </w:r>
          </w:p>
          <w:p>
            <w:pPr>
              <w:pStyle w:val="null3"/>
            </w:pPr>
            <w:r>
              <w:rPr>
                <w:rFonts w:ascii="仿宋_GB2312" w:hAnsi="仿宋_GB2312" w:cs="仿宋_GB2312" w:eastAsia="仿宋_GB2312"/>
              </w:rPr>
              <w:t>8、《关于开展河湖岸线保护与利用规划评估、“一河(湖)一策”实施方案修编等工作的通知》</w:t>
            </w:r>
          </w:p>
          <w:p>
            <w:pPr>
              <w:pStyle w:val="null3"/>
            </w:pPr>
            <w:r>
              <w:rPr>
                <w:rFonts w:ascii="仿宋_GB2312" w:hAnsi="仿宋_GB2312" w:cs="仿宋_GB2312" w:eastAsia="仿宋_GB2312"/>
              </w:rPr>
              <w:t>9、《关于加快2025年度河湖健康评价、“一河(湖)一策”修编工作的提醒单》</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、质量标准：</w:t>
            </w:r>
            <w:r>
              <w:rPr>
                <w:rFonts w:ascii="仿宋_GB2312" w:hAnsi="仿宋_GB2312" w:cs="仿宋_GB2312" w:eastAsia="仿宋_GB2312"/>
                <w:sz w:val="21"/>
              </w:rPr>
              <w:t>成果资料及配套服务达到国家及行业验收合格标准</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四、成果内容：</w:t>
            </w:r>
            <w:r>
              <w:rPr>
                <w:rFonts w:ascii="仿宋_GB2312" w:hAnsi="仿宋_GB2312" w:cs="仿宋_GB2312" w:eastAsia="仿宋_GB2312"/>
                <w:sz w:val="21"/>
              </w:rPr>
              <w:t>形成相关图文成果</w:t>
            </w:r>
            <w:r>
              <w:rPr>
                <w:rFonts w:ascii="仿宋_GB2312" w:hAnsi="仿宋_GB2312" w:cs="仿宋_GB2312" w:eastAsia="仿宋_GB2312"/>
                <w:sz w:val="21"/>
              </w:rPr>
              <w:t>:纸质版资料</w:t>
            </w:r>
            <w:r>
              <w:rPr>
                <w:rFonts w:ascii="仿宋_GB2312" w:hAnsi="仿宋_GB2312" w:cs="仿宋_GB2312" w:eastAsia="仿宋_GB2312"/>
                <w:sz w:val="21"/>
              </w:rPr>
              <w:t>8</w:t>
            </w:r>
            <w:r>
              <w:rPr>
                <w:rFonts w:ascii="仿宋_GB2312" w:hAnsi="仿宋_GB2312" w:cs="仿宋_GB2312" w:eastAsia="仿宋_GB2312"/>
                <w:sz w:val="21"/>
              </w:rPr>
              <w:t>套；电子版资料</w:t>
            </w:r>
            <w:r>
              <w:rPr>
                <w:rFonts w:ascii="仿宋_GB2312" w:hAnsi="仿宋_GB2312" w:cs="仿宋_GB2312" w:eastAsia="仿宋_GB2312"/>
                <w:sz w:val="21"/>
              </w:rPr>
              <w:t>2</w:t>
            </w:r>
            <w:r>
              <w:rPr>
                <w:rFonts w:ascii="仿宋_GB2312" w:hAnsi="仿宋_GB2312" w:cs="仿宋_GB2312" w:eastAsia="仿宋_GB2312"/>
                <w:sz w:val="21"/>
              </w:rPr>
              <w:t>套。</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按招标文件、投标文件及澄清函、项目检查情况等综合指标进行验收。各项指标均应符合验收标准及要求。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技术成果通过评审，出具成果文件后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3.5.1、本项目采购人为渭南市临渭区水务局，实施单位为渭南市临渭区河长制办公室。 3.5.2、投标保证金注意事项：（1）以转账、支票、汇票等方式递交投标保证金的，须从供应商基本账户转出。（2）以保函形式交纳投标保证金的，供应商应在响应截止时间前持保函扫描件发送至代理机构邮箱（sxtwgs@163.com）；供应商应在投标文件中附保函扫描件。 3.5.3、投标截止日后2个工作日内提供纸质版投标文件两份、电子版（PDF格式）一份（经编标工具生成的投标文件进行下载、打印），提供的纸质版文件内容确保与线上电子投标文件保持一致，不允许修改和补充。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政府采购供应商拒绝政府采购领域商业贿赂承诺书.pdf 投标函 资格证明文件.pdf</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营业执照或法人证书等证明文件</w:t>
            </w:r>
          </w:p>
        </w:tc>
        <w:tc>
          <w:tcPr>
            <w:tcW w:type="dxa" w:w="3322"/>
          </w:tcPr>
          <w:p>
            <w:pPr>
              <w:pStyle w:val="null3"/>
            </w:pPr>
            <w:r>
              <w:rPr>
                <w:rFonts w:ascii="仿宋_GB2312" w:hAnsi="仿宋_GB2312" w:cs="仿宋_GB2312" w:eastAsia="仿宋_GB2312"/>
              </w:rPr>
              <w:t>合法有效，具有独立承担民事责任的能力且具备向采购人提供相关服务的企业法人、其他组织或自然人；出具合法有效的营业执照或事业单位法人证书等国家规定的相关证明，自然人参与的提供其身份证明。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须具备工程设计综合甲级资质或工程设计水利行业乙级(含乙级)及以上资质。</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拟派项目负责人须具备相关专业高级工程师及以上职称</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法定代表人授权书/法定代表人身份证明书</w:t>
            </w:r>
          </w:p>
        </w:tc>
        <w:tc>
          <w:tcPr>
            <w:tcW w:type="dxa" w:w="3322"/>
          </w:tcPr>
          <w:p>
            <w:pPr>
              <w:pStyle w:val="null3"/>
            </w:pPr>
            <w:r>
              <w:rPr>
                <w:rFonts w:ascii="仿宋_GB2312" w:hAnsi="仿宋_GB2312" w:cs="仿宋_GB2312" w:eastAsia="仿宋_GB2312"/>
              </w:rPr>
              <w:t>法定代表人直接参加投标的，须提供法定代表人身份证明及其身份证扫描件；法定代表人授权他人参加投标的，须提供法定代表人身份证明及法定代表人授权委托书。</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度财务审计报告（若成立时间至投标文件递交截止时间前不足一年的可提供成立后任意时段的资产负债表）或投标文件递交截止时间前六个月内其基本账户银行出具的资信证明（附基本账户证明）或政府采购信用担保机构出具的投标担保函。</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日期为准、增值税、企业所得税至少提供一种)，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提供递交投标文件截止之日前一年内任意一个月的社会保障资金缴存单据或社保机构开具的社会保险参保缴费情况证明；依法不需要缴纳社会保障资金的供应商应提供相关证明文件。</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具有履行合同的声明</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参加政府采购活动前三年内在经营活动中无重大违法记录的书面声明。</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信誉信息</w:t>
            </w:r>
          </w:p>
        </w:tc>
        <w:tc>
          <w:tcPr>
            <w:tcW w:type="dxa" w:w="3322"/>
          </w:tcPr>
          <w:p>
            <w:pPr>
              <w:pStyle w:val="null3"/>
            </w:pPr>
            <w:r>
              <w:rPr>
                <w:rFonts w:ascii="仿宋_GB2312" w:hAnsi="仿宋_GB2312" w:cs="仿宋_GB2312" w:eastAsia="仿宋_GB2312"/>
              </w:rPr>
              <w:t>投标人不得为“信用中国”网站（www.creditchina.gov.cn）中列入重大税收违法失信主体的投标人；不得为“中国执行信息公开网”（http：//zxgk.court.gov.cn）中列入失信被执行人名单的投标人；不得为“中国政府采购网”（www.ccgp.gov.cn）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无控股、管理承诺</w:t>
            </w:r>
          </w:p>
        </w:tc>
        <w:tc>
          <w:tcPr>
            <w:tcW w:type="dxa" w:w="3322"/>
          </w:tcPr>
          <w:p>
            <w:pPr>
              <w:pStyle w:val="null3"/>
            </w:pPr>
            <w:r>
              <w:rPr>
                <w:rFonts w:ascii="仿宋_GB2312" w:hAnsi="仿宋_GB2312" w:cs="仿宋_GB2312" w:eastAsia="仿宋_GB2312"/>
              </w:rPr>
              <w:t>单位负责人为同一人或者存在直接控股、管理关系的不同投标人，不得同时参加同一合同项下的政府采购活动。</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本项目不接受联合体投标，提供非联合体声明。</w:t>
            </w:r>
          </w:p>
        </w:tc>
        <w:tc>
          <w:tcPr>
            <w:tcW w:type="dxa" w:w="1661"/>
          </w:tcPr>
          <w:p>
            <w:pPr>
              <w:pStyle w:val="null3"/>
            </w:pPr>
            <w:r>
              <w:rPr>
                <w:rFonts w:ascii="仿宋_GB2312" w:hAnsi="仿宋_GB2312" w:cs="仿宋_GB2312" w:eastAsia="仿宋_GB2312"/>
              </w:rPr>
              <w:t>资格证明文件.pdf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投标人认为需要提供的其他资料.pdf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与营业执照或其他主体证明资料一致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投标文件按招标文件要求进行签署、盖章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报价唯一且未超过本项目最高限价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满足招标文件规定</w:t>
            </w:r>
          </w:p>
        </w:tc>
        <w:tc>
          <w:tcPr>
            <w:tcW w:type="dxa" w:w="1661"/>
          </w:tcPr>
          <w:p>
            <w:pPr>
              <w:pStyle w:val="null3"/>
            </w:pPr>
            <w:r>
              <w:rPr>
                <w:rFonts w:ascii="仿宋_GB2312" w:hAnsi="仿宋_GB2312" w:cs="仿宋_GB2312" w:eastAsia="仿宋_GB2312"/>
              </w:rPr>
              <w:t>商务应答表.pdf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对技术和商务要求响应</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商务应答表.pdf 服务内容及服务要求应答表.pdf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满足招标文件规定</w:t>
            </w:r>
          </w:p>
        </w:tc>
        <w:tc>
          <w:tcPr>
            <w:tcW w:type="dxa" w:w="1661"/>
          </w:tcPr>
          <w:p>
            <w:pPr>
              <w:pStyle w:val="null3"/>
            </w:pPr>
            <w:r>
              <w:rPr>
                <w:rFonts w:ascii="仿宋_GB2312" w:hAnsi="仿宋_GB2312" w:cs="仿宋_GB2312" w:eastAsia="仿宋_GB2312"/>
              </w:rPr>
              <w:t>投标保证金.pdf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实施总体方案编制</w:t>
            </w:r>
          </w:p>
        </w:tc>
        <w:tc>
          <w:tcPr>
            <w:tcW w:type="dxa" w:w="2492"/>
          </w:tcPr>
          <w:p>
            <w:pPr>
              <w:pStyle w:val="null3"/>
            </w:pPr>
            <w:r>
              <w:rPr>
                <w:rFonts w:ascii="仿宋_GB2312" w:hAnsi="仿宋_GB2312" w:cs="仿宋_GB2312" w:eastAsia="仿宋_GB2312"/>
              </w:rPr>
              <w:t>1.针对本项目采购需求理念超前，编制思路清晰，满足采购需求计10.1-15分； 2.针对本项目采购需求思路可行，内容基本完善计5.1-10分； 3.编制思路理念落后或于本项目适用性差计0.1-5分； 4.未提供不计分。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实施总体方案编制.pdf</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1.能够提出本项目实施过程中可能遇见的重点、难点，对本项目适用性强，并提供针对性强的措施及有效的解决方案6.1-9分； 2.能够提出本项目实施过程中可能遇见的重点、难点，但对本项目适用性不很强，未提供针对性的措施或有效的解决方案计3.1-6分； 3.提出本项目实施过程中可能遇见的重点、难点不适用，或无针对性的措施或解决方案计0.1-3分； 4.未提供不计分。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重点、难点分析.pdf</w:t>
            </w:r>
          </w:p>
        </w:tc>
      </w:tr>
      <w:tr>
        <w:tc>
          <w:tcPr>
            <w:tcW w:type="dxa" w:w="831"/>
            <w:vMerge/>
          </w:tcPr>
          <w:p/>
        </w:tc>
        <w:tc>
          <w:tcPr>
            <w:tcW w:type="dxa" w:w="1661"/>
          </w:tcPr>
          <w:p>
            <w:pPr>
              <w:pStyle w:val="null3"/>
            </w:pPr>
            <w:r>
              <w:rPr>
                <w:rFonts w:ascii="仿宋_GB2312" w:hAnsi="仿宋_GB2312" w:cs="仿宋_GB2312" w:eastAsia="仿宋_GB2312"/>
              </w:rPr>
              <w:t>项目进度安排及成果递交</w:t>
            </w:r>
          </w:p>
        </w:tc>
        <w:tc>
          <w:tcPr>
            <w:tcW w:type="dxa" w:w="2492"/>
          </w:tcPr>
          <w:p>
            <w:pPr>
              <w:pStyle w:val="null3"/>
            </w:pPr>
            <w:r>
              <w:rPr>
                <w:rFonts w:ascii="仿宋_GB2312" w:hAnsi="仿宋_GB2312" w:cs="仿宋_GB2312" w:eastAsia="仿宋_GB2312"/>
              </w:rPr>
              <w:t>1.针对本项目有详细的项目进度安排，工作安排完整详尽，能确保按期完成成果递交计7.1-11分； 2.针对本项目有项目进度安排，工作安排基本完整和明确计3.5-7分； 3.项目进度安排不合理，难以保证按期完成成果递交的计0.1-3.4分； 4.未提供项目进度安排不计分。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项目进度安排及成果递交.pdf</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结合本项目要求阐述质量保障措施及所配备的专业设施设备等。设施设备有保障，服务质量的保障措施科学合理、具体可行得6.1-9分；设施设备满足项目需求，保障措施基本合理得3.1-6分；配有设施设备，但保障措施简单、不利于项目实施得0.1-3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质量保障措施.pdf</w:t>
            </w:r>
          </w:p>
        </w:tc>
      </w:tr>
      <w:tr>
        <w:tc>
          <w:tcPr>
            <w:tcW w:type="dxa" w:w="831"/>
            <w:vMerge/>
          </w:tcPr>
          <w:p/>
        </w:tc>
        <w:tc>
          <w:tcPr>
            <w:tcW w:type="dxa" w:w="1661"/>
          </w:tcPr>
          <w:p>
            <w:pPr>
              <w:pStyle w:val="null3"/>
            </w:pPr>
            <w:r>
              <w:rPr>
                <w:rFonts w:ascii="仿宋_GB2312" w:hAnsi="仿宋_GB2312" w:cs="仿宋_GB2312" w:eastAsia="仿宋_GB2312"/>
              </w:rPr>
              <w:t>突发事件应急预案和措施</w:t>
            </w:r>
          </w:p>
        </w:tc>
        <w:tc>
          <w:tcPr>
            <w:tcW w:type="dxa" w:w="2492"/>
          </w:tcPr>
          <w:p>
            <w:pPr>
              <w:pStyle w:val="null3"/>
            </w:pPr>
            <w:r>
              <w:rPr>
                <w:rFonts w:ascii="仿宋_GB2312" w:hAnsi="仿宋_GB2312" w:cs="仿宋_GB2312" w:eastAsia="仿宋_GB2312"/>
              </w:rPr>
              <w:t>针对本项目实施过程中出现的突发情况编制应急预案和措施，包含①在项目实施过程中出现突发问题的应急处置方案；②应急响应时间；③出现突发状况应急人员安排；应急预案和措施在完整性、可实施性、针对性科学合理，具体可行得6.1-9分；应急预案和措施在完整性、可实施性、针对性满足项目需求，保障措施基本合理得3.1-6分；应急预案和措施具有，在完整性、可实施性、针对性但保障措施简单、不利于项目实施得0.1-3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突发事件应急预案和措施.pdf</w:t>
            </w:r>
          </w:p>
        </w:tc>
      </w:tr>
      <w:tr>
        <w:tc>
          <w:tcPr>
            <w:tcW w:type="dxa" w:w="831"/>
            <w:vMerge/>
          </w:tcPr>
          <w:p/>
        </w:tc>
        <w:tc>
          <w:tcPr>
            <w:tcW w:type="dxa" w:w="1661"/>
          </w:tcPr>
          <w:p>
            <w:pPr>
              <w:pStyle w:val="null3"/>
            </w:pPr>
            <w:r>
              <w:rPr>
                <w:rFonts w:ascii="仿宋_GB2312" w:hAnsi="仿宋_GB2312" w:cs="仿宋_GB2312" w:eastAsia="仿宋_GB2312"/>
              </w:rPr>
              <w:t>团队人员配置</w:t>
            </w:r>
          </w:p>
        </w:tc>
        <w:tc>
          <w:tcPr>
            <w:tcW w:type="dxa" w:w="2492"/>
          </w:tcPr>
          <w:p>
            <w:pPr>
              <w:pStyle w:val="null3"/>
            </w:pPr>
            <w:r>
              <w:rPr>
                <w:rFonts w:ascii="仿宋_GB2312" w:hAnsi="仿宋_GB2312" w:cs="仿宋_GB2312" w:eastAsia="仿宋_GB2312"/>
              </w:rPr>
              <w:t>团队人员配置（项目负责人除外）： 1、人员配备齐全、结构合理、职责清晰，完全满足得3.5-7分；基本满足得1.1-3.4分；不满足不得分。 团队人员配置（项目负责人除外）：团队其他人员每具有一名中级职称的得 0.5 分，高级及以上职称得 1 分,本项最多得5分。（团队人员须提供职称证书复印件并加盖公章）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人员配备.pdf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供应商提供完成的业绩，每提供一项类似业绩计5分，最高计15分。（以合同签订日期为准，供应商须提供合同或中标（成交）通知书复印件或扫描件加盖公章）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评标基准价的确定：经评标委员会对各投标人符合性审查合格后，以投标报价最低投标价为评标基准价，得20分。 根据下列公式计算出各投标人的报价得分： 投标报价得分=（评标基准价/有效投标报价）×20%×100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详见附件：服务内容及服务要求应答表.pdf</w:t>
      </w:r>
    </w:p>
    <w:p>
      <w:pPr>
        <w:pStyle w:val="null3"/>
        <w:ind w:firstLine="960"/>
      </w:pPr>
      <w:r>
        <w:rPr>
          <w:rFonts w:ascii="仿宋_GB2312" w:hAnsi="仿宋_GB2312" w:cs="仿宋_GB2312" w:eastAsia="仿宋_GB2312"/>
        </w:rPr>
        <w:t>详见附件：商务应答表.pdf</w:t>
      </w:r>
    </w:p>
    <w:p>
      <w:pPr>
        <w:pStyle w:val="null3"/>
        <w:ind w:firstLine="960"/>
      </w:pPr>
      <w:r>
        <w:rPr>
          <w:rFonts w:ascii="仿宋_GB2312" w:hAnsi="仿宋_GB2312" w:cs="仿宋_GB2312" w:eastAsia="仿宋_GB2312"/>
        </w:rPr>
        <w:t>详见附件：投标保证金.pdf</w:t>
      </w:r>
    </w:p>
    <w:p>
      <w:pPr>
        <w:pStyle w:val="null3"/>
        <w:ind w:firstLine="960"/>
      </w:pPr>
      <w:r>
        <w:rPr>
          <w:rFonts w:ascii="仿宋_GB2312" w:hAnsi="仿宋_GB2312" w:cs="仿宋_GB2312" w:eastAsia="仿宋_GB2312"/>
        </w:rPr>
        <w:t>详见附件：投标人认为需要提供的其他资料.pdf</w:t>
      </w:r>
    </w:p>
    <w:p>
      <w:pPr>
        <w:pStyle w:val="null3"/>
        <w:ind w:firstLine="960"/>
      </w:pPr>
      <w:r>
        <w:rPr>
          <w:rFonts w:ascii="仿宋_GB2312" w:hAnsi="仿宋_GB2312" w:cs="仿宋_GB2312" w:eastAsia="仿宋_GB2312"/>
        </w:rPr>
        <w:t>详见附件：实施总体方案编制.pdf</w:t>
      </w:r>
    </w:p>
    <w:p>
      <w:pPr>
        <w:pStyle w:val="null3"/>
        <w:ind w:firstLine="960"/>
      </w:pPr>
      <w:r>
        <w:rPr>
          <w:rFonts w:ascii="仿宋_GB2312" w:hAnsi="仿宋_GB2312" w:cs="仿宋_GB2312" w:eastAsia="仿宋_GB2312"/>
        </w:rPr>
        <w:t>详见附件：重点、难点分析.pdf</w:t>
      </w:r>
    </w:p>
    <w:p>
      <w:pPr>
        <w:pStyle w:val="null3"/>
        <w:ind w:firstLine="960"/>
      </w:pPr>
      <w:r>
        <w:rPr>
          <w:rFonts w:ascii="仿宋_GB2312" w:hAnsi="仿宋_GB2312" w:cs="仿宋_GB2312" w:eastAsia="仿宋_GB2312"/>
        </w:rPr>
        <w:t>详见附件：项目进度安排及成果递交.pdf</w:t>
      </w:r>
    </w:p>
    <w:p>
      <w:pPr>
        <w:pStyle w:val="null3"/>
        <w:ind w:firstLine="960"/>
      </w:pPr>
      <w:r>
        <w:rPr>
          <w:rFonts w:ascii="仿宋_GB2312" w:hAnsi="仿宋_GB2312" w:cs="仿宋_GB2312" w:eastAsia="仿宋_GB2312"/>
        </w:rPr>
        <w:t>详见附件：质量保障措施.pdf</w:t>
      </w:r>
    </w:p>
    <w:p>
      <w:pPr>
        <w:pStyle w:val="null3"/>
        <w:ind w:firstLine="960"/>
      </w:pPr>
      <w:r>
        <w:rPr>
          <w:rFonts w:ascii="仿宋_GB2312" w:hAnsi="仿宋_GB2312" w:cs="仿宋_GB2312" w:eastAsia="仿宋_GB2312"/>
        </w:rPr>
        <w:t>详见附件：突发事件应急预案和措施.pdf</w:t>
      </w:r>
    </w:p>
    <w:p>
      <w:pPr>
        <w:pStyle w:val="null3"/>
        <w:ind w:firstLine="960"/>
      </w:pPr>
      <w:r>
        <w:rPr>
          <w:rFonts w:ascii="仿宋_GB2312" w:hAnsi="仿宋_GB2312" w:cs="仿宋_GB2312" w:eastAsia="仿宋_GB2312"/>
        </w:rPr>
        <w:t>详见附件：人员配备.pdf</w:t>
      </w:r>
    </w:p>
    <w:p>
      <w:pPr>
        <w:pStyle w:val="null3"/>
        <w:ind w:firstLine="960"/>
      </w:pPr>
      <w:r>
        <w:rPr>
          <w:rFonts w:ascii="仿宋_GB2312" w:hAnsi="仿宋_GB2312" w:cs="仿宋_GB2312" w:eastAsia="仿宋_GB2312"/>
        </w:rPr>
        <w:t>详见附件：类似项目业绩表.pdf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