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版本号：ZCSP-临渭区-2025-0032520251214001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2025年临渭区科学施肥增效“三新”集成推进项目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ZCSP-临渭区-2025-00325</w:t>
      </w:r>
      <w:r>
        <w:br/>
      </w:r>
      <w:r>
        <w:br/>
      </w:r>
      <w:r>
        <w:br/>
      </w:r>
    </w:p>
    <w:p>
      <w:pPr>
        <w:pStyle w:val="null3"/>
        <w:jc w:val="center"/>
        <w:outlineLvl w:val="2"/>
      </w:pPr>
      <w:r>
        <w:rPr>
          <w:rFonts w:ascii="仿宋_GB2312" w:hAnsi="仿宋_GB2312" w:cs="仿宋_GB2312" w:eastAsia="仿宋_GB2312"/>
          <w:sz w:val="28"/>
          <w:b/>
        </w:rPr>
        <w:t>渭南市临渭区农业技术推广中心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渭南市临渭区农业技术推广中心</w:t>
      </w:r>
      <w:r>
        <w:rPr>
          <w:rFonts w:ascii="仿宋_GB2312" w:hAnsi="仿宋_GB2312" w:cs="仿宋_GB2312" w:eastAsia="仿宋_GB2312"/>
        </w:rPr>
        <w:t>委托，拟对</w:t>
      </w:r>
      <w:r>
        <w:rPr>
          <w:rFonts w:ascii="仿宋_GB2312" w:hAnsi="仿宋_GB2312" w:cs="仿宋_GB2312" w:eastAsia="仿宋_GB2312"/>
        </w:rPr>
        <w:t>2025年临渭区科学施肥增效“三新”集成推进项目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ZCSP-临渭区-2025-00325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2025年临渭区科学施肥增效“三新”集成推进项目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建设小麦“三新”技术集成示范3万亩，包括无人机追肥示范、新型叶面肥应用示范、水肥一体化示范。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采购包1（2025年临渭区科学施肥增效“三新”集成推进项目）：属于专门面向中小企业采购。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1、法定代表人授权书/法定代表人身份证明：法定代表人参与投标时需提供法定代表人身份证明；被授权人参与投标时需提供法定代表人身份证明及法定代表人授权委托书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渭南市民生北街243号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0913-2167055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渭南市临渭区农业技术推广中心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1.服务满足《2025年临渭区科学施肥增效“三新”集成推进项目实施方案》及其他相关要求。 2.选择的肥料要符合国家标准，高效低毒、安全环保。 3.严格按照要求组织施肥增效工作，服务前按服务要求筹备各项器械、材料、工具等，按技术规定进行作业。 4.验收：采购人根据招标文件、投标文件和合同约定标准、技术和服务逐项验收。服务内容完成后，采购人组织相关部门进行现场验收。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建设小麦“三新”技术集成示范3万亩，包括无人机追肥示范、新型叶面肥应用示范、水肥一体化示范。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2025年临渭区科学施肥增效“三新”集成推进服务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标的名称：2025年临渭区科学施肥增效“三新”集成推进服务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一、实施区域及规模</w:t>
            </w:r>
          </w:p>
          <w:p>
            <w:pPr>
              <w:pStyle w:val="null3"/>
            </w:pPr>
            <w:r>
              <w:rPr>
                <w:rFonts w:ascii="仿宋_GB2312" w:hAnsi="仿宋_GB2312" w:cs="仿宋_GB2312" w:eastAsia="仿宋_GB2312"/>
              </w:rPr>
              <w:t>1、千亩示范方。在官道、蔺店、孝义、阳郭、阎村等镇依托新型经营主体和社会化服务组织，创建“三新”技术千亩方10个，面积1万亩。</w:t>
            </w:r>
          </w:p>
          <w:p>
            <w:pPr>
              <w:pStyle w:val="null3"/>
            </w:pPr>
            <w:r>
              <w:rPr>
                <w:rFonts w:ascii="仿宋_GB2312" w:hAnsi="仿宋_GB2312" w:cs="仿宋_GB2312" w:eastAsia="仿宋_GB2312"/>
              </w:rPr>
              <w:t>2、万亩示范片。在水利条件便利、耕地地力水平高、粮食规模化种植集中的故市镇、官底镇实施整村推进，创建“三新”技术集成万亩片各1个，面积2万亩。</w:t>
            </w:r>
          </w:p>
          <w:p>
            <w:pPr>
              <w:pStyle w:val="null3"/>
            </w:pPr>
            <w:r>
              <w:rPr>
                <w:rFonts w:ascii="仿宋_GB2312" w:hAnsi="仿宋_GB2312" w:cs="仿宋_GB2312" w:eastAsia="仿宋_GB2312"/>
                <w:b/>
              </w:rPr>
              <w:t>二、实施内容</w:t>
            </w:r>
          </w:p>
          <w:p>
            <w:pPr>
              <w:pStyle w:val="null3"/>
            </w:pPr>
            <w:r>
              <w:rPr>
                <w:rFonts w:ascii="仿宋_GB2312" w:hAnsi="仿宋_GB2312" w:cs="仿宋_GB2312" w:eastAsia="仿宋_GB2312"/>
              </w:rPr>
              <w:t>“三新”集成示范区建设。建设小麦“三新”技术集成示范3万亩，包括无人机追肥示范、新型叶面肥应用示范、水肥一体化示范。</w:t>
            </w:r>
          </w:p>
          <w:p>
            <w:pPr>
              <w:pStyle w:val="null3"/>
            </w:pPr>
            <w:r>
              <w:rPr>
                <w:rFonts w:ascii="仿宋_GB2312" w:hAnsi="仿宋_GB2312" w:cs="仿宋_GB2312" w:eastAsia="仿宋_GB2312"/>
              </w:rPr>
              <w:t>1、千亩方。 无人机追肥示范：返青期-拔节期无人机撒施尿素（10kg/亩）作业0.6万亩+ 抽穗灌浆期无人机新型叶面肥喷施0.6万亩；</w:t>
            </w:r>
          </w:p>
          <w:p>
            <w:pPr>
              <w:pStyle w:val="null3"/>
            </w:pPr>
            <w:r>
              <w:rPr>
                <w:rFonts w:ascii="仿宋_GB2312" w:hAnsi="仿宋_GB2312" w:cs="仿宋_GB2312" w:eastAsia="仿宋_GB2312"/>
              </w:rPr>
              <w:t>水肥一体化示范：采购高氮水溶肥0.4万亩。</w:t>
            </w:r>
          </w:p>
          <w:p>
            <w:pPr>
              <w:pStyle w:val="null3"/>
            </w:pPr>
            <w:r>
              <w:rPr>
                <w:rFonts w:ascii="仿宋_GB2312" w:hAnsi="仿宋_GB2312" w:cs="仿宋_GB2312" w:eastAsia="仿宋_GB2312"/>
              </w:rPr>
              <w:t>2、万亩片。返青期-拔节期无人机撒施尿素（10kg/亩）作业2万亩；抽穗灌浆期新型叶面肥采购发放服务2万亩。</w:t>
            </w:r>
          </w:p>
          <w:p>
            <w:pPr>
              <w:pStyle w:val="null3"/>
            </w:pPr>
            <w:r>
              <w:rPr>
                <w:rFonts w:ascii="仿宋_GB2312" w:hAnsi="仿宋_GB2312" w:cs="仿宋_GB2312" w:eastAsia="仿宋_GB2312"/>
              </w:rPr>
              <w:t>3、参数要求</w:t>
            </w:r>
          </w:p>
          <w:p>
            <w:pPr>
              <w:pStyle w:val="null3"/>
            </w:pPr>
            <w:r>
              <w:rPr>
                <w:rFonts w:ascii="仿宋_GB2312" w:hAnsi="仿宋_GB2312" w:cs="仿宋_GB2312" w:eastAsia="仿宋_GB2312"/>
              </w:rPr>
              <w:t>尿素：总氮≥46%，要求颗粒直径2.0-4.0mm，近球形或类球形，颗粒均匀度达到90%以上，化学纯度需符合农业用尿素标准（GB/T 2440-2017）；</w:t>
            </w:r>
          </w:p>
          <w:p>
            <w:pPr>
              <w:pStyle w:val="null3"/>
            </w:pPr>
            <w:r>
              <w:rPr>
                <w:rFonts w:ascii="仿宋_GB2312" w:hAnsi="仿宋_GB2312" w:cs="仿宋_GB2312" w:eastAsia="仿宋_GB2312"/>
              </w:rPr>
              <w:t>新型叶面肥：符合 GB/T 17419-2018《含有机质叶面肥料》、NY/T 1107-2020《大量元素水溶肥料》、 NY 1429-2010《含氨基酸水溶肥料》、GB/T 17420-2020《微量元素叶面肥料》 、NY/T 3831-2021《有机水溶肥料 通用要求》五项标准之一，同时含有海藻酸、植物生长调节剂、植物免疫激活蛋白等成分，具备促进作物光合作用、增强抗逆性（抗旱、抗寒、抗倒伏）、改善品质的功效；</w:t>
            </w:r>
          </w:p>
          <w:p>
            <w:pPr>
              <w:pStyle w:val="null3"/>
            </w:pPr>
            <w:r>
              <w:rPr>
                <w:rFonts w:ascii="仿宋_GB2312" w:hAnsi="仿宋_GB2312" w:cs="仿宋_GB2312" w:eastAsia="仿宋_GB2312"/>
              </w:rPr>
              <w:t>高氮水溶肥：氮、磷、钾总含量≥45%，氮（N）含量≥30%，符合标准《大量元素水溶肥料》(NY/T 1107-2020)。</w:t>
            </w:r>
          </w:p>
          <w:p>
            <w:pPr>
              <w:pStyle w:val="null3"/>
            </w:pPr>
            <w:r>
              <w:rPr>
                <w:rFonts w:ascii="仿宋_GB2312" w:hAnsi="仿宋_GB2312" w:cs="仿宋_GB2312" w:eastAsia="仿宋_GB2312"/>
              </w:rPr>
              <w:t>无人机作业参数：无人机载重50千克及以上;每架无人机每天作业不少于 500 亩;无人机服无人机飞行高度:2.5-3 米，喷幅 4-6 米:有独立后台飞行数据管理平台，可对实施喷洒的区域航线、流量、高度及喷洒面积进行监督追溯。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1、肥料要求有肥料登记证或农业农村部肥料备案信息系统、省级农业农村部门肥料备案信息系统备案凭证或相关许可手续。</w:t>
            </w:r>
          </w:p>
          <w:p>
            <w:pPr>
              <w:pStyle w:val="null3"/>
            </w:pPr>
            <w:r>
              <w:rPr>
                <w:rFonts w:ascii="仿宋_GB2312" w:hAnsi="仿宋_GB2312" w:cs="仿宋_GB2312" w:eastAsia="仿宋_GB2312"/>
              </w:rPr>
              <w:t>2、无人机追肥操作人员须具有无人机操作相关证件；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四、服务保障</w:t>
            </w:r>
          </w:p>
          <w:p>
            <w:pPr>
              <w:pStyle w:val="null3"/>
            </w:pPr>
            <w:r>
              <w:rPr>
                <w:rFonts w:ascii="仿宋_GB2312" w:hAnsi="仿宋_GB2312" w:cs="仿宋_GB2312" w:eastAsia="仿宋_GB2312"/>
              </w:rPr>
              <w:t>1、中标后，中标人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pPr>
            <w:r>
              <w:rPr>
                <w:rFonts w:ascii="仿宋_GB2312" w:hAnsi="仿宋_GB2312" w:cs="仿宋_GB2312" w:eastAsia="仿宋_GB2312"/>
              </w:rPr>
              <w:t>2、中标后，中标人向采购人提供项目作业计划和安全责任协议等，其内容包括管理机构的设置、各主要岗位的技术和管理员名单、资质、联系方式及各工种技术工人的安排、项目实施进度安排、技术措施等状况。</w:t>
            </w:r>
          </w:p>
          <w:p>
            <w:pPr>
              <w:pStyle w:val="null3"/>
            </w:pPr>
            <w:r>
              <w:rPr>
                <w:rFonts w:ascii="仿宋_GB2312" w:hAnsi="仿宋_GB2312" w:cs="仿宋_GB2312" w:eastAsia="仿宋_GB2312"/>
              </w:rPr>
              <w:t>3、严格按照服务要求进行作业，作业前按项目要求筹备各项器械、材料、工具等，按技术规定进行作业。</w:t>
            </w:r>
          </w:p>
          <w:p>
            <w:pPr>
              <w:pStyle w:val="null3"/>
            </w:pPr>
            <w:r>
              <w:rPr>
                <w:rFonts w:ascii="仿宋_GB2312" w:hAnsi="仿宋_GB2312" w:cs="仿宋_GB2312" w:eastAsia="仿宋_GB2312"/>
              </w:rPr>
              <w:t>4、协助采购人及时组织召开检查验收、效果评价和验收工作会议。</w:t>
            </w:r>
          </w:p>
          <w:p>
            <w:pPr>
              <w:pStyle w:val="null3"/>
            </w:pPr>
            <w:r>
              <w:rPr>
                <w:rFonts w:ascii="仿宋_GB2312" w:hAnsi="仿宋_GB2312" w:cs="仿宋_GB2312" w:eastAsia="仿宋_GB2312"/>
              </w:rPr>
              <w:t>5、中标人向采购人提交作业过程性资料，按相关要求执行。</w:t>
            </w:r>
          </w:p>
          <w:p>
            <w:pPr>
              <w:pStyle w:val="null3"/>
            </w:pPr>
            <w:r>
              <w:rPr>
                <w:rFonts w:ascii="仿宋_GB2312" w:hAnsi="仿宋_GB2312" w:cs="仿宋_GB2312" w:eastAsia="仿宋_GB2312"/>
              </w:rPr>
              <w:t>6、有各类突发事件的应急预案和措施，有明确具体的承诺。</w:t>
            </w:r>
          </w:p>
          <w:p>
            <w:pPr>
              <w:pStyle w:val="null3"/>
            </w:pPr>
            <w:r>
              <w:rPr>
                <w:rFonts w:ascii="仿宋_GB2312" w:hAnsi="仿宋_GB2312" w:cs="仿宋_GB2312" w:eastAsia="仿宋_GB2312"/>
              </w:rPr>
              <w:t>注：具体内容以实施方案为准。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后，中标人派驻一名项目负责人，一名技术负责人对作业过程中作业进度、服务质量、作业人员管理进行总协调，确保技术措施的落实，按时参加采购人组织的相关会议和活动，服从采购人的工作制度和工作规范。</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根据项目特点及采购人要求配备无人机等设备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总价最高限价：大写：壹佰叁拾万元整，小写：¥1300000.00元 单价最高限价： （1）无人机撒施尿素：30元/亩； （2）无人机喷施新型叶面肥：20元/亩； （3）水肥一体化示范：50元/亩； （4）新型叶面肥采购发放：10元/亩。 注：1.本项目单价及总价报价均不得超过最高限价，报价服务面积不少于“3.2.2服务要求”中的面积要求，否则按无效投标处理；2.本项目最终结算根据单价报价及实际服务面积进行据实结算。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1.服务满足《2025年临渭区科学施肥增效“三新”集成推进项目实施方案》及其他相关要求。 2.选择的肥料要符合国家标准，高效低毒、安全环保。 3.严格按照要求组织施肥增效工作，服务前按服务要求筹备各项器械、材料、工具等，按技术规定进行作业。 4.验收：采购人根据招标文件、投标文件和合同约定标准、技术和服务逐项验收。服务内容完成后，采购人组织相关部门进行现场验收。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采购人按照服务进度付款，合同签订后支付至合同总价款40%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供应商初步完成服务内容，经采购人和相关部门验收合格后支付剩余合同价款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不能按合同规定的时间提交工作成果和提供服务时，或提供的技术服务有瑕疵，不能满足采购人正常使用的，视为违约，供应商应向采购人支付合同总价10%的违约金并承担由此给采购人造成的全部损失，包括但不限于违约金、损失赔偿金等。 2.特殊情况下，供应商征得采购人书面同意后，合同履行期限可以顺延。若供应商在采购人规定期限内仍无法提交工作成果和提供服务时，每迟延一天，采购人按本合同未完成部分价格的15%扣除供应商未支付的合同款，直至供应商完成合同约定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本项目所属行业：农、林、牧、渔业，根据关于印发中小企业划型标准规定的通知 （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供应商需提供合法有效，具有独立承担民事责任的能力且具备向采购人提供相关服务的证明资料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法定代表人参与投标时需提供法定代表人身份证明；被授权人参与投标时需提供法定代表人身份证明及法定代表人授权委托书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政府采购供应商拒绝政府采购领域商业贿赂承诺书.docx 分项报价表.docx 投标函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服务内容及服务邀请应答表 中小企业声明函 商务应答表 政府采购供应商拒绝政府采购领域商业贿赂承诺书.docx 分项报价表.docx 投标函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开标一览表 服务内容及服务邀请应答表 中小企业声明函 商务应答表 政府采购供应商拒绝政府采购领域商业贿赂承诺书.docx 分项报价表.docx 投标函 残疾人福利性单位声明函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供应商针对本项目制定的总体方案，包含①项目需求理解；②作业进度安排；③技术组织保障措施；④整体管理措施。 评审标准： 每一条评审内容不存在缺陷得3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“三新”技术服务措施</w:t>
            </w:r>
          </w:p>
        </w:tc>
        <w:tc>
          <w:tcPr>
            <w:tcW w:type="dxa" w:w="2492"/>
          </w:tcPr>
          <w:p>
            <w:pPr>
              <w:pStyle w:val="null3"/>
            </w:pPr>
            <w:r>
              <w:rPr>
                <w:rFonts w:ascii="仿宋_GB2312" w:hAnsi="仿宋_GB2312" w:cs="仿宋_GB2312" w:eastAsia="仿宋_GB2312"/>
              </w:rPr>
              <w:t>评审内容： 措施包含①无人机尿素追肥作业措施；②新型叶面肥发放措施；③高氮水溶肥水肥一体化作业措施；④分区域技术适配措施。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作业方法</w:t>
            </w:r>
          </w:p>
        </w:tc>
        <w:tc>
          <w:tcPr>
            <w:tcW w:type="dxa" w:w="2492"/>
          </w:tcPr>
          <w:p>
            <w:pPr>
              <w:pStyle w:val="null3"/>
            </w:pPr>
            <w:r>
              <w:rPr>
                <w:rFonts w:ascii="仿宋_GB2312" w:hAnsi="仿宋_GB2312" w:cs="仿宋_GB2312" w:eastAsia="仿宋_GB2312"/>
              </w:rPr>
              <w:t>评审内容： 方案包含①作业器械选择方案；②无人机作业方案；③水肥一体化作业方法。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质量保证措施包含①服务质量保障体系；②肥料用量标准；③效果验收措施。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评审内容： 包含：①在作业过程中出现突发问题的应急处置方案；②应急响应时间；③出现突发状况应急人员安排。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 包含：①在作业过程中人员安全保障措施；②作业环境安全防范；③肥料使用安全保障。 评审标准： 按照供应商编制内容依据评审标准每项得3分；每有一项内容出现一处存在缺陷的扣0.5分，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经过有效性和符合性审核合格的投标人，商务要求每优于招标文件要求一项得1分，最高加2分。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投标人具有近三年（2022年12月至今）的类似业绩（合同扫描件并加盖投标人公章，以合同签订时间为准）每个计1分，最多得5分；未提供不得分。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拟派项目负责人具有农业类相关专业高级证书得2分；具有农业类相关专业中级证书得1分。提供人员专业技术能力证明材料，未提供不得分。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项目组人员中（项目负责人除外）每具有一个农业方面专业技术人员得1分，本项最高得6分。提供人员专业技术能力证明材料，未提供不得分。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满足招标文件要求且最后投标总报价最低的投标人的价格为基准价得20分，其他各投标人的最后报价得分按下列公式计算： 投标报价得分=（投标基准价/最后投标报价）×20%×100。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