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5D3CD">
      <w:pPr>
        <w:pStyle w:val="7"/>
        <w:rPr>
          <w:rFonts w:hint="eastAsia" w:ascii="宋体" w:hAnsi="宋体" w:cs="宋体"/>
        </w:rPr>
      </w:pPr>
      <w:r>
        <w:rPr>
          <w:rFonts w:hint="eastAsia" w:ascii="宋体" w:hAnsi="宋体" w:cs="宋体"/>
        </w:rPr>
        <w:t>合同主要条款</w:t>
      </w:r>
    </w:p>
    <w:p w14:paraId="0ABD471D">
      <w:pPr>
        <w:jc w:val="center"/>
        <w:rPr>
          <w:rFonts w:hint="eastAsia" w:ascii="宋体" w:hAnsi="宋体" w:cs="宋体"/>
          <w:spacing w:val="12"/>
        </w:rPr>
      </w:pPr>
      <w:r>
        <w:rPr>
          <w:rFonts w:hint="eastAsia" w:ascii="宋体" w:hAnsi="宋体" w:cs="宋体"/>
          <w:spacing w:val="12"/>
        </w:rPr>
        <w:t>注：本合同仅为合同的参考文本，合同签订双方可根据项目的具体要求进行修订。</w:t>
      </w:r>
    </w:p>
    <w:p w14:paraId="1D92187F">
      <w:pPr>
        <w:rPr>
          <w:rFonts w:hint="eastAsia" w:ascii="宋体" w:hAnsi="宋体" w:cs="宋体"/>
          <w:spacing w:val="12"/>
        </w:rPr>
      </w:pPr>
    </w:p>
    <w:p w14:paraId="731121D5">
      <w:pPr>
        <w:rPr>
          <w:rFonts w:hint="eastAsia" w:ascii="宋体" w:hAnsi="宋体" w:cs="宋体"/>
          <w:spacing w:val="12"/>
          <w:sz w:val="44"/>
          <w:szCs w:val="44"/>
        </w:rPr>
      </w:pPr>
    </w:p>
    <w:p w14:paraId="76FECF3A">
      <w:pPr>
        <w:rPr>
          <w:rFonts w:hint="eastAsia" w:ascii="宋体" w:hAnsi="宋体" w:cs="宋体"/>
          <w:b/>
          <w:bCs/>
          <w:spacing w:val="12"/>
          <w:sz w:val="48"/>
          <w:szCs w:val="48"/>
        </w:rPr>
      </w:pPr>
    </w:p>
    <w:p w14:paraId="37F5D112">
      <w:pPr>
        <w:pStyle w:val="2"/>
        <w:ind w:firstLine="0"/>
        <w:jc w:val="center"/>
        <w:rPr>
          <w:rFonts w:hint="eastAsia" w:ascii="宋体" w:hAnsi="宋体" w:eastAsia="宋体" w:cs="宋体"/>
          <w:b/>
          <w:bCs/>
          <w:spacing w:val="12"/>
          <w:sz w:val="40"/>
          <w:szCs w:val="40"/>
          <w:lang w:eastAsia="zh-CN"/>
        </w:rPr>
      </w:pPr>
      <w:r>
        <w:rPr>
          <w:rFonts w:hint="eastAsia" w:ascii="宋体" w:hAnsi="宋体" w:eastAsia="宋体" w:cs="宋体"/>
          <w:b/>
          <w:bCs/>
          <w:spacing w:val="12"/>
          <w:sz w:val="40"/>
          <w:szCs w:val="40"/>
          <w:lang w:eastAsia="zh-CN"/>
        </w:rPr>
        <w:t>2025年临渭区科学施肥增效“三新”集成推进项目</w:t>
      </w:r>
    </w:p>
    <w:p w14:paraId="36520A85">
      <w:pPr>
        <w:pStyle w:val="2"/>
        <w:ind w:firstLine="0"/>
        <w:jc w:val="center"/>
        <w:rPr>
          <w:rFonts w:hint="eastAsia" w:ascii="宋体" w:hAnsi="宋体" w:eastAsia="宋体" w:cs="宋体"/>
          <w:b/>
          <w:bCs/>
          <w:spacing w:val="12"/>
        </w:rPr>
      </w:pPr>
    </w:p>
    <w:p w14:paraId="21FA2DBE">
      <w:pPr>
        <w:pStyle w:val="2"/>
        <w:rPr>
          <w:rFonts w:hint="eastAsia" w:ascii="宋体" w:hAnsi="宋体" w:cs="宋体"/>
          <w:spacing w:val="12"/>
          <w:sz w:val="44"/>
          <w:szCs w:val="44"/>
        </w:rPr>
      </w:pPr>
    </w:p>
    <w:p w14:paraId="2F8CB275">
      <w:pPr>
        <w:pStyle w:val="2"/>
        <w:rPr>
          <w:rFonts w:hint="eastAsia" w:ascii="宋体" w:hAnsi="宋体" w:cs="宋体"/>
          <w:spacing w:val="12"/>
          <w:sz w:val="44"/>
          <w:szCs w:val="44"/>
        </w:rPr>
      </w:pPr>
    </w:p>
    <w:p w14:paraId="41871CD2">
      <w:pPr>
        <w:pStyle w:val="2"/>
        <w:rPr>
          <w:rFonts w:hint="eastAsia" w:ascii="宋体" w:hAnsi="宋体" w:cs="宋体"/>
          <w:spacing w:val="12"/>
          <w:sz w:val="44"/>
          <w:szCs w:val="44"/>
        </w:rPr>
      </w:pPr>
    </w:p>
    <w:p w14:paraId="03722616">
      <w:pPr>
        <w:jc w:val="center"/>
        <w:rPr>
          <w:rFonts w:hint="eastAsia" w:ascii="宋体" w:hAnsi="宋体" w:cs="宋体"/>
          <w:b/>
          <w:bCs/>
          <w:spacing w:val="12"/>
          <w:sz w:val="56"/>
          <w:szCs w:val="56"/>
        </w:rPr>
      </w:pPr>
      <w:r>
        <w:rPr>
          <w:rFonts w:hint="eastAsia" w:ascii="宋体" w:hAnsi="宋体" w:cs="宋体"/>
          <w:b/>
          <w:bCs/>
          <w:spacing w:val="12"/>
          <w:sz w:val="56"/>
          <w:szCs w:val="56"/>
        </w:rPr>
        <w:t>政府采购合同书</w:t>
      </w:r>
    </w:p>
    <w:p w14:paraId="2DD00DAD">
      <w:pPr>
        <w:rPr>
          <w:rFonts w:hint="eastAsia" w:ascii="宋体" w:hAnsi="宋体" w:cs="宋体"/>
          <w:spacing w:val="12"/>
          <w:sz w:val="44"/>
          <w:szCs w:val="44"/>
        </w:rPr>
      </w:pPr>
      <w:r>
        <w:rPr>
          <w:rFonts w:hint="eastAsia" w:ascii="宋体" w:hAnsi="宋体" w:cs="宋体"/>
          <w:spacing w:val="12"/>
          <w:sz w:val="32"/>
          <w:szCs w:val="32"/>
        </w:rPr>
        <w:t xml:space="preserve">                   </w:t>
      </w:r>
    </w:p>
    <w:p w14:paraId="2D7DAFB8">
      <w:pPr>
        <w:rPr>
          <w:rFonts w:hint="eastAsia" w:ascii="宋体" w:hAnsi="宋体" w:cs="宋体"/>
          <w:spacing w:val="12"/>
          <w:sz w:val="32"/>
          <w:szCs w:val="32"/>
          <w:u w:val="single"/>
        </w:rPr>
      </w:pPr>
    </w:p>
    <w:p w14:paraId="5867203D">
      <w:pPr>
        <w:rPr>
          <w:rFonts w:hint="eastAsia" w:ascii="宋体" w:hAnsi="宋体" w:cs="宋体"/>
          <w:spacing w:val="12"/>
          <w:sz w:val="32"/>
          <w:szCs w:val="32"/>
          <w:u w:val="single"/>
        </w:rPr>
      </w:pPr>
    </w:p>
    <w:p w14:paraId="3D25EC4A">
      <w:pPr>
        <w:rPr>
          <w:rFonts w:hint="eastAsia" w:ascii="宋体" w:hAnsi="宋体" w:cs="宋体"/>
        </w:rPr>
      </w:pPr>
    </w:p>
    <w:p w14:paraId="5AC2F9E7">
      <w:pPr>
        <w:rPr>
          <w:rFonts w:hint="eastAsia" w:ascii="宋体" w:hAnsi="宋体" w:cs="宋体"/>
          <w:spacing w:val="12"/>
          <w:sz w:val="32"/>
          <w:szCs w:val="32"/>
        </w:rPr>
      </w:pPr>
    </w:p>
    <w:p w14:paraId="4AEC1FD6">
      <w:pPr>
        <w:rPr>
          <w:rFonts w:hint="eastAsia"/>
        </w:rPr>
      </w:pPr>
    </w:p>
    <w:p w14:paraId="0DCA9EEA">
      <w:pPr>
        <w:pStyle w:val="2"/>
        <w:ind w:firstLine="0"/>
        <w:rPr>
          <w:rFonts w:hint="eastAsia"/>
        </w:rPr>
      </w:pPr>
    </w:p>
    <w:p w14:paraId="639844C0">
      <w:pPr>
        <w:ind w:firstLine="2136" w:firstLineChars="700"/>
        <w:rPr>
          <w:rFonts w:hint="eastAsia" w:ascii="宋体" w:hAnsi="宋体" w:cs="宋体"/>
          <w:b/>
          <w:bCs/>
          <w:spacing w:val="12"/>
          <w:sz w:val="28"/>
          <w:szCs w:val="28"/>
        </w:rPr>
      </w:pPr>
      <w:r>
        <w:rPr>
          <w:rFonts w:hint="eastAsia" w:ascii="宋体" w:hAnsi="宋体" w:cs="宋体"/>
          <w:b/>
          <w:bCs/>
          <w:spacing w:val="12"/>
          <w:sz w:val="28"/>
          <w:szCs w:val="28"/>
        </w:rPr>
        <w:t>采购人：</w:t>
      </w:r>
      <w:r>
        <w:rPr>
          <w:rFonts w:hint="eastAsia" w:ascii="宋体" w:hAnsi="宋体" w:cs="宋体"/>
          <w:b/>
          <w:bCs/>
          <w:spacing w:val="12"/>
          <w:sz w:val="28"/>
          <w:szCs w:val="28"/>
          <w:lang w:eastAsia="zh-CN"/>
        </w:rPr>
        <w:t>渭南市临渭区农业技术推广中心</w:t>
      </w:r>
      <w:r>
        <w:rPr>
          <w:rFonts w:hint="eastAsia" w:ascii="宋体" w:hAnsi="宋体" w:cs="宋体"/>
          <w:b/>
          <w:bCs/>
          <w:spacing w:val="12"/>
          <w:sz w:val="28"/>
          <w:szCs w:val="28"/>
        </w:rPr>
        <w:t xml:space="preserve"> </w:t>
      </w:r>
    </w:p>
    <w:p w14:paraId="1BB8B10C">
      <w:pPr>
        <w:ind w:firstLine="2136" w:firstLineChars="700"/>
        <w:rPr>
          <w:rFonts w:hint="eastAsia" w:ascii="宋体" w:hAnsi="宋体" w:cs="宋体"/>
          <w:szCs w:val="21"/>
        </w:rPr>
      </w:pPr>
      <w:r>
        <w:rPr>
          <w:rFonts w:hint="eastAsia" w:ascii="宋体" w:hAnsi="宋体" w:cs="宋体"/>
          <w:b/>
          <w:bCs/>
          <w:spacing w:val="12"/>
          <w:sz w:val="28"/>
          <w:szCs w:val="28"/>
        </w:rPr>
        <w:t>中标人：</w:t>
      </w:r>
    </w:p>
    <w:p w14:paraId="2C3E8D28">
      <w:pPr>
        <w:spacing w:line="360" w:lineRule="auto"/>
        <w:rPr>
          <w:rFonts w:hint="eastAsia" w:ascii="宋体" w:hAnsi="宋体" w:cs="宋体"/>
          <w:sz w:val="22"/>
          <w:szCs w:val="22"/>
        </w:rPr>
      </w:pPr>
    </w:p>
    <w:p w14:paraId="65BC91F7">
      <w:pPr>
        <w:spacing w:line="360" w:lineRule="auto"/>
        <w:rPr>
          <w:rFonts w:hint="eastAsia" w:ascii="宋体" w:hAnsi="宋体" w:cs="宋体"/>
          <w:sz w:val="22"/>
          <w:szCs w:val="22"/>
        </w:rPr>
      </w:pPr>
    </w:p>
    <w:p w14:paraId="4B2D3B42">
      <w:pPr>
        <w:spacing w:line="360" w:lineRule="auto"/>
        <w:rPr>
          <w:rFonts w:hint="eastAsia" w:ascii="宋体" w:hAnsi="宋体" w:cs="宋体"/>
          <w:sz w:val="22"/>
          <w:szCs w:val="22"/>
        </w:rPr>
      </w:pPr>
    </w:p>
    <w:p w14:paraId="2366A260">
      <w:pPr>
        <w:spacing w:line="360" w:lineRule="auto"/>
        <w:rPr>
          <w:rFonts w:hint="eastAsia" w:ascii="宋体" w:hAnsi="宋体" w:cs="宋体"/>
          <w:sz w:val="22"/>
          <w:szCs w:val="22"/>
        </w:rPr>
      </w:pPr>
      <w:r>
        <w:rPr>
          <w:rFonts w:hint="eastAsia" w:ascii="宋体" w:hAnsi="宋体" w:cs="宋体"/>
          <w:sz w:val="22"/>
          <w:szCs w:val="22"/>
        </w:rPr>
        <w:t xml:space="preserve">签订地点：  </w:t>
      </w:r>
    </w:p>
    <w:p w14:paraId="236E29FE">
      <w:pPr>
        <w:spacing w:line="360" w:lineRule="auto"/>
        <w:rPr>
          <w:rFonts w:hint="eastAsia" w:ascii="宋体" w:hAnsi="宋体" w:cs="宋体"/>
          <w:sz w:val="22"/>
          <w:szCs w:val="22"/>
        </w:rPr>
      </w:pPr>
      <w:r>
        <w:rPr>
          <w:rFonts w:hint="eastAsia" w:ascii="宋体" w:hAnsi="宋体" w:cs="宋体"/>
          <w:sz w:val="22"/>
          <w:szCs w:val="22"/>
          <w:lang w:eastAsia="zh-CN"/>
        </w:rPr>
        <w:t>项目编号</w:t>
      </w:r>
      <w:r>
        <w:rPr>
          <w:rFonts w:hint="eastAsia" w:ascii="宋体" w:hAnsi="宋体" w:cs="宋体"/>
          <w:sz w:val="22"/>
          <w:szCs w:val="22"/>
        </w:rPr>
        <w:t xml:space="preserve">：                                      </w:t>
      </w:r>
    </w:p>
    <w:p w14:paraId="714A9D07">
      <w:pPr>
        <w:spacing w:line="360" w:lineRule="auto"/>
        <w:rPr>
          <w:rFonts w:hint="eastAsia" w:ascii="宋体" w:hAnsi="宋体" w:cs="宋体"/>
          <w:sz w:val="22"/>
          <w:szCs w:val="22"/>
        </w:rPr>
      </w:pPr>
      <w:r>
        <w:rPr>
          <w:rFonts w:hint="eastAsia" w:ascii="宋体" w:hAnsi="宋体" w:cs="宋体"/>
          <w:sz w:val="22"/>
          <w:szCs w:val="22"/>
        </w:rPr>
        <w:t xml:space="preserve">采购人（甲方）： </w:t>
      </w:r>
      <w:r>
        <w:rPr>
          <w:rFonts w:hint="eastAsia" w:ascii="宋体" w:hAnsi="宋体" w:cs="宋体"/>
          <w:sz w:val="22"/>
          <w:szCs w:val="22"/>
          <w:lang w:eastAsia="zh-CN"/>
        </w:rPr>
        <w:t>渭南市临渭区农业技术推广中心</w:t>
      </w:r>
      <w:r>
        <w:rPr>
          <w:rFonts w:hint="eastAsia" w:ascii="宋体" w:hAnsi="宋体" w:cs="宋体"/>
          <w:sz w:val="22"/>
          <w:szCs w:val="22"/>
        </w:rPr>
        <w:t xml:space="preserve">  </w:t>
      </w:r>
    </w:p>
    <w:p w14:paraId="377B0D1B">
      <w:pPr>
        <w:spacing w:line="360" w:lineRule="auto"/>
        <w:rPr>
          <w:rFonts w:hint="eastAsia" w:ascii="宋体" w:hAnsi="宋体" w:cs="宋体"/>
          <w:sz w:val="22"/>
          <w:szCs w:val="22"/>
        </w:rPr>
      </w:pPr>
      <w:r>
        <w:rPr>
          <w:rFonts w:hint="eastAsia" w:ascii="宋体" w:hAnsi="宋体" w:cs="宋体"/>
          <w:sz w:val="22"/>
          <w:szCs w:val="22"/>
        </w:rPr>
        <w:t>中标人（乙方）：</w:t>
      </w:r>
    </w:p>
    <w:p w14:paraId="6CAB8C7E">
      <w:pPr>
        <w:spacing w:line="360" w:lineRule="auto"/>
        <w:ind w:firstLine="440" w:firstLineChars="200"/>
        <w:rPr>
          <w:rFonts w:hint="eastAsia" w:ascii="宋体" w:hAnsi="宋体" w:cs="宋体"/>
          <w:sz w:val="22"/>
          <w:szCs w:val="22"/>
        </w:rPr>
      </w:pPr>
    </w:p>
    <w:p w14:paraId="049D4D87">
      <w:pPr>
        <w:spacing w:line="360" w:lineRule="auto"/>
        <w:ind w:firstLine="440" w:firstLineChars="200"/>
        <w:rPr>
          <w:rFonts w:hint="eastAsia" w:ascii="宋体" w:hAnsi="宋体" w:cs="宋体"/>
          <w:sz w:val="22"/>
          <w:szCs w:val="22"/>
        </w:rPr>
      </w:pPr>
      <w:r>
        <w:rPr>
          <w:rFonts w:hint="eastAsia" w:ascii="宋体" w:hAnsi="宋体" w:cs="宋体"/>
          <w:sz w:val="22"/>
          <w:szCs w:val="22"/>
        </w:rPr>
        <w:t>根据</w:t>
      </w:r>
      <w:r>
        <w:rPr>
          <w:rFonts w:hint="eastAsia" w:ascii="宋体" w:hAnsi="宋体" w:cs="宋体"/>
          <w:b/>
          <w:bCs/>
          <w:sz w:val="22"/>
          <w:szCs w:val="22"/>
          <w:u w:val="single"/>
          <w:lang w:eastAsia="zh-CN"/>
        </w:rPr>
        <w:t>2025年临渭区科学施肥增效“三新”集成推进项目</w:t>
      </w:r>
      <w:r>
        <w:rPr>
          <w:rFonts w:hint="eastAsia" w:ascii="宋体" w:hAnsi="宋体" w:cs="宋体"/>
          <w:sz w:val="22"/>
          <w:szCs w:val="22"/>
        </w:rPr>
        <w:t>的采购结果，按照《中华人民共和国政府采购法》、《中华人民共和国民法典》等规定，经双方协商，本着平等互利和诚实信用的原则，一致同意签订本合同如下。</w:t>
      </w:r>
    </w:p>
    <w:p w14:paraId="4E3EAC32">
      <w:pPr>
        <w:spacing w:line="360" w:lineRule="auto"/>
        <w:rPr>
          <w:rFonts w:hint="eastAsia" w:ascii="宋体" w:hAnsi="宋体" w:cs="宋体"/>
          <w:b/>
          <w:bCs/>
          <w:sz w:val="22"/>
          <w:szCs w:val="22"/>
        </w:rPr>
      </w:pPr>
      <w:r>
        <w:rPr>
          <w:rFonts w:hint="eastAsia" w:ascii="宋体" w:hAnsi="宋体" w:cs="宋体"/>
          <w:b/>
          <w:bCs/>
          <w:sz w:val="22"/>
          <w:szCs w:val="22"/>
        </w:rPr>
        <w:t>一、合同文件</w:t>
      </w:r>
    </w:p>
    <w:p w14:paraId="29FAC292">
      <w:pPr>
        <w:spacing w:line="360" w:lineRule="auto"/>
        <w:ind w:firstLine="440" w:firstLineChars="200"/>
        <w:rPr>
          <w:rFonts w:hint="eastAsia" w:ascii="宋体" w:hAnsi="宋体" w:cs="宋体"/>
          <w:sz w:val="22"/>
          <w:szCs w:val="22"/>
        </w:rPr>
      </w:pPr>
      <w:r>
        <w:rPr>
          <w:rFonts w:hint="eastAsia" w:ascii="宋体" w:hAnsi="宋体" w:cs="宋体"/>
          <w:sz w:val="22"/>
          <w:szCs w:val="22"/>
        </w:rPr>
        <w:t>1、协议书条款；</w:t>
      </w:r>
    </w:p>
    <w:p w14:paraId="22DCDD26">
      <w:pPr>
        <w:spacing w:line="360" w:lineRule="auto"/>
        <w:ind w:firstLine="440" w:firstLineChars="200"/>
        <w:rPr>
          <w:rFonts w:hint="eastAsia" w:ascii="宋体" w:hAnsi="宋体" w:cs="宋体"/>
          <w:sz w:val="22"/>
          <w:szCs w:val="22"/>
        </w:rPr>
      </w:pPr>
      <w:r>
        <w:rPr>
          <w:rFonts w:hint="eastAsia" w:ascii="宋体" w:hAnsi="宋体" w:cs="宋体"/>
          <w:sz w:val="22"/>
          <w:szCs w:val="22"/>
        </w:rPr>
        <w:t>2、招标文件；</w:t>
      </w:r>
    </w:p>
    <w:p w14:paraId="17A683ED">
      <w:pPr>
        <w:spacing w:line="360" w:lineRule="auto"/>
        <w:ind w:firstLine="440" w:firstLineChars="200"/>
        <w:rPr>
          <w:rFonts w:hint="eastAsia" w:ascii="宋体" w:hAnsi="宋体" w:cs="宋体"/>
          <w:sz w:val="22"/>
          <w:szCs w:val="22"/>
        </w:rPr>
      </w:pPr>
      <w:r>
        <w:rPr>
          <w:rFonts w:hint="eastAsia" w:ascii="宋体" w:hAnsi="宋体" w:cs="宋体"/>
          <w:sz w:val="22"/>
          <w:szCs w:val="22"/>
        </w:rPr>
        <w:t>3、投标文件；</w:t>
      </w:r>
    </w:p>
    <w:p w14:paraId="4A4B0A80">
      <w:pPr>
        <w:spacing w:line="360" w:lineRule="auto"/>
        <w:ind w:firstLine="440" w:firstLineChars="200"/>
        <w:rPr>
          <w:rFonts w:hint="eastAsia" w:ascii="宋体" w:hAnsi="宋体" w:cs="宋体"/>
          <w:sz w:val="22"/>
          <w:szCs w:val="22"/>
        </w:rPr>
      </w:pPr>
      <w:r>
        <w:rPr>
          <w:rFonts w:hint="eastAsia" w:ascii="宋体" w:hAnsi="宋体" w:cs="宋体"/>
          <w:sz w:val="22"/>
          <w:szCs w:val="22"/>
        </w:rPr>
        <w:t>4、中标通知书；</w:t>
      </w:r>
    </w:p>
    <w:p w14:paraId="48BADB7B">
      <w:pPr>
        <w:spacing w:line="360" w:lineRule="auto"/>
        <w:ind w:firstLine="440" w:firstLineChars="200"/>
        <w:rPr>
          <w:rFonts w:hint="eastAsia" w:ascii="宋体" w:hAnsi="宋体" w:cs="宋体"/>
          <w:sz w:val="22"/>
          <w:szCs w:val="22"/>
        </w:rPr>
      </w:pPr>
      <w:r>
        <w:rPr>
          <w:rFonts w:hint="eastAsia" w:ascii="宋体" w:hAnsi="宋体" w:cs="宋体"/>
          <w:sz w:val="22"/>
          <w:szCs w:val="22"/>
        </w:rPr>
        <w:t>5、其他。</w:t>
      </w:r>
    </w:p>
    <w:p w14:paraId="730204FA">
      <w:pPr>
        <w:spacing w:line="360" w:lineRule="auto"/>
        <w:ind w:firstLine="440" w:firstLineChars="200"/>
        <w:rPr>
          <w:rFonts w:hint="eastAsia" w:ascii="宋体" w:hAnsi="宋体" w:cs="宋体"/>
          <w:sz w:val="22"/>
          <w:szCs w:val="22"/>
        </w:rPr>
      </w:pPr>
      <w:r>
        <w:rPr>
          <w:rFonts w:hint="eastAsia" w:ascii="宋体" w:hAnsi="宋体" w:cs="宋体"/>
          <w:sz w:val="22"/>
          <w:szCs w:val="22"/>
        </w:rPr>
        <w:t>上述所指合同文件应认为是互相补充和解释的，但是有模棱两可或互相矛盾之处，以其所列内容顺序为准。</w:t>
      </w:r>
    </w:p>
    <w:p w14:paraId="38054E70">
      <w:pPr>
        <w:spacing w:line="360" w:lineRule="auto"/>
        <w:rPr>
          <w:rFonts w:hint="eastAsia" w:ascii="宋体" w:hAnsi="宋体" w:cs="宋体"/>
          <w:b/>
          <w:bCs/>
          <w:sz w:val="22"/>
          <w:szCs w:val="22"/>
        </w:rPr>
      </w:pPr>
      <w:bookmarkStart w:id="0" w:name="_Toc9090"/>
      <w:r>
        <w:rPr>
          <w:rFonts w:hint="eastAsia" w:ascii="宋体" w:hAnsi="宋体" w:cs="宋体"/>
          <w:b/>
          <w:bCs/>
          <w:sz w:val="22"/>
          <w:szCs w:val="22"/>
        </w:rPr>
        <w:t>二、合同价款</w:t>
      </w:r>
      <w:bookmarkEnd w:id="0"/>
    </w:p>
    <w:p w14:paraId="7DF5A4B4">
      <w:pPr>
        <w:spacing w:line="360" w:lineRule="auto"/>
        <w:ind w:firstLine="440" w:firstLineChars="200"/>
        <w:rPr>
          <w:rFonts w:hint="eastAsia" w:ascii="宋体" w:hAnsi="宋体" w:cs="宋体"/>
          <w:b/>
          <w:bCs/>
          <w:sz w:val="22"/>
          <w:szCs w:val="22"/>
        </w:rPr>
      </w:pPr>
      <w:r>
        <w:rPr>
          <w:rFonts w:hint="eastAsia" w:ascii="宋体" w:hAnsi="宋体" w:cs="宋体"/>
          <w:sz w:val="22"/>
          <w:szCs w:val="22"/>
        </w:rPr>
        <w:t>（一）合同总价款为</w:t>
      </w:r>
      <w:r>
        <w:rPr>
          <w:rFonts w:hint="eastAsia" w:ascii="宋体" w:hAnsi="宋体" w:cs="宋体"/>
          <w:b/>
          <w:bCs/>
          <w:sz w:val="22"/>
          <w:szCs w:val="22"/>
        </w:rPr>
        <w:t>人民币（大写）</w:t>
      </w:r>
      <w:r>
        <w:rPr>
          <w:rFonts w:hint="eastAsia" w:ascii="宋体" w:hAnsi="宋体" w:cs="宋体"/>
          <w:b/>
          <w:bCs/>
          <w:sz w:val="22"/>
          <w:szCs w:val="22"/>
          <w:u w:val="single"/>
        </w:rPr>
        <w:t xml:space="preserve">                    </w:t>
      </w:r>
      <w:r>
        <w:rPr>
          <w:rFonts w:hint="eastAsia" w:ascii="宋体" w:hAnsi="宋体" w:cs="宋体"/>
          <w:b/>
          <w:bCs/>
          <w:sz w:val="22"/>
          <w:szCs w:val="22"/>
        </w:rPr>
        <w:t xml:space="preserve"> （¥</w:t>
      </w:r>
      <w:r>
        <w:rPr>
          <w:rFonts w:hint="eastAsia" w:ascii="宋体" w:hAnsi="宋体" w:cs="宋体"/>
          <w:b/>
          <w:bCs/>
          <w:sz w:val="22"/>
          <w:szCs w:val="22"/>
          <w:u w:val="single"/>
        </w:rPr>
        <w:t xml:space="preserve">            </w:t>
      </w:r>
      <w:r>
        <w:rPr>
          <w:rFonts w:hint="eastAsia" w:ascii="宋体" w:hAnsi="宋体" w:cs="宋体"/>
          <w:b/>
          <w:bCs/>
          <w:sz w:val="22"/>
          <w:szCs w:val="22"/>
        </w:rPr>
        <w:t>）。</w:t>
      </w:r>
    </w:p>
    <w:p w14:paraId="575C919C">
      <w:pPr>
        <w:spacing w:line="360" w:lineRule="auto"/>
        <w:ind w:firstLine="440" w:firstLineChars="200"/>
        <w:rPr>
          <w:rFonts w:hint="eastAsia" w:ascii="宋体" w:hAnsi="宋体" w:cs="宋体"/>
          <w:sz w:val="22"/>
          <w:szCs w:val="22"/>
        </w:rPr>
      </w:pPr>
      <w:r>
        <w:rPr>
          <w:rFonts w:hint="eastAsia" w:ascii="宋体" w:hAnsi="宋体" w:cs="宋体"/>
          <w:sz w:val="22"/>
          <w:szCs w:val="22"/>
        </w:rPr>
        <w:t>（二）合同总价款是指完成本次服务包含的所有费用，包括本次活动的服务费、肥料费、人工费、运输费、验收费、管理费等招标文件明示及暗示所有风险等所有费用，服务期内采购人不再增加任何费用。</w:t>
      </w:r>
    </w:p>
    <w:p w14:paraId="51FAA466">
      <w:pPr>
        <w:spacing w:line="360" w:lineRule="auto"/>
        <w:rPr>
          <w:rFonts w:hint="eastAsia" w:ascii="宋体" w:hAnsi="宋体" w:cs="宋体"/>
          <w:b/>
          <w:sz w:val="22"/>
          <w:szCs w:val="22"/>
        </w:rPr>
      </w:pPr>
      <w:bookmarkStart w:id="1" w:name="_Toc5628"/>
      <w:r>
        <w:rPr>
          <w:rFonts w:hint="eastAsia" w:ascii="宋体" w:hAnsi="宋体" w:cs="宋体"/>
          <w:b/>
          <w:sz w:val="22"/>
          <w:szCs w:val="22"/>
        </w:rPr>
        <w:t>三、款项结算</w:t>
      </w:r>
      <w:bookmarkEnd w:id="1"/>
    </w:p>
    <w:p w14:paraId="6C0DFED6">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bCs/>
          <w:kern w:val="0"/>
          <w:sz w:val="22"/>
          <w:szCs w:val="22"/>
        </w:rPr>
      </w:pPr>
      <w:r>
        <w:rPr>
          <w:rFonts w:hint="eastAsia" w:ascii="宋体" w:hAnsi="宋体" w:cs="宋体"/>
          <w:kern w:val="0"/>
          <w:sz w:val="22"/>
          <w:szCs w:val="22"/>
        </w:rPr>
        <w:t>（一）合同价款的支付：</w:t>
      </w:r>
      <w:bookmarkStart w:id="2" w:name="_Hlk106572534"/>
      <w:r>
        <w:rPr>
          <w:rFonts w:hint="eastAsia" w:ascii="宋体" w:hAnsi="宋体" w:cs="宋体"/>
          <w:b/>
          <w:bCs/>
          <w:kern w:val="0"/>
          <w:sz w:val="22"/>
          <w:szCs w:val="22"/>
          <w:lang w:eastAsia="zh-CN"/>
        </w:rPr>
        <w:t>采购人按照服务进度付款，合同签订后支付至合同总价款40%，供应商初步完成服务内容，经采购人和相关部门验收合格后支付剩余合同价款。</w:t>
      </w:r>
      <w:r>
        <w:rPr>
          <w:rFonts w:hint="eastAsia" w:ascii="宋体" w:hAnsi="宋体" w:cs="宋体"/>
          <w:b/>
          <w:bCs/>
          <w:kern w:val="0"/>
          <w:sz w:val="22"/>
          <w:szCs w:val="22"/>
        </w:rPr>
        <w:t xml:space="preserve"> </w:t>
      </w:r>
    </w:p>
    <w:bookmarkEnd w:id="2"/>
    <w:p w14:paraId="5DF41AF9">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（二）支付方式：银行转账。</w:t>
      </w:r>
    </w:p>
    <w:p w14:paraId="2289D89A">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（三）结算方式：由采购人负责结算，合同签订后，中标人在接受付款前，开具等额发票给采购人。</w:t>
      </w:r>
    </w:p>
    <w:p w14:paraId="2E67EC3F">
      <w:pPr>
        <w:spacing w:line="360" w:lineRule="auto"/>
        <w:rPr>
          <w:rFonts w:ascii="宋体" w:hAnsi="宋体" w:cs="宋体"/>
          <w:b/>
          <w:sz w:val="22"/>
          <w:szCs w:val="22"/>
        </w:rPr>
      </w:pPr>
      <w:r>
        <w:rPr>
          <w:rFonts w:hint="eastAsia" w:ascii="宋体" w:hAnsi="宋体" w:cs="宋体"/>
          <w:b/>
          <w:sz w:val="22"/>
          <w:szCs w:val="22"/>
        </w:rPr>
        <w:t>四、服务具体指标</w:t>
      </w:r>
    </w:p>
    <w:p w14:paraId="0DB3BA54">
      <w:pPr>
        <w:spacing w:line="360" w:lineRule="auto"/>
        <w:ind w:firstLine="442" w:firstLineChars="200"/>
        <w:rPr>
          <w:rFonts w:hint="eastAsia" w:ascii="宋体" w:hAnsi="宋体" w:cs="宋体"/>
          <w:sz w:val="22"/>
          <w:szCs w:val="22"/>
        </w:rPr>
      </w:pPr>
      <w:r>
        <w:rPr>
          <w:rFonts w:hint="eastAsia" w:ascii="宋体" w:hAnsi="宋体" w:cs="宋体"/>
          <w:b/>
          <w:bCs/>
          <w:sz w:val="22"/>
          <w:szCs w:val="22"/>
        </w:rPr>
        <w:t>（一）实施区域及规模</w:t>
      </w:r>
    </w:p>
    <w:p w14:paraId="36A68094">
      <w:pPr>
        <w:spacing w:line="360" w:lineRule="auto"/>
        <w:ind w:firstLine="440" w:firstLineChars="200"/>
        <w:rPr>
          <w:rFonts w:hint="eastAsia" w:ascii="宋体" w:hAnsi="宋体" w:cs="宋体"/>
          <w:sz w:val="22"/>
          <w:szCs w:val="22"/>
        </w:rPr>
      </w:pPr>
      <w:r>
        <w:rPr>
          <w:rFonts w:hint="eastAsia" w:ascii="宋体" w:hAnsi="宋体" w:cs="宋体"/>
          <w:sz w:val="22"/>
          <w:szCs w:val="22"/>
        </w:rPr>
        <w:t>千亩示范方。在官道、蔺店、孝义、阳郭、阎村等镇依托新型经营主体和社会化服务组织，创建“三新”技术千亩方10个，面积1万亩。</w:t>
      </w:r>
    </w:p>
    <w:p w14:paraId="571561B5">
      <w:pPr>
        <w:spacing w:line="360" w:lineRule="auto"/>
        <w:ind w:firstLine="440" w:firstLineChars="200"/>
        <w:rPr>
          <w:rFonts w:hint="eastAsia" w:ascii="宋体" w:hAnsi="宋体" w:cs="宋体"/>
          <w:sz w:val="22"/>
          <w:szCs w:val="22"/>
        </w:rPr>
      </w:pPr>
      <w:r>
        <w:rPr>
          <w:rFonts w:hint="eastAsia" w:ascii="宋体" w:hAnsi="宋体" w:cs="宋体"/>
          <w:sz w:val="22"/>
          <w:szCs w:val="22"/>
        </w:rPr>
        <w:t>万亩示范片。在水利条件便利、耕地地力水平高、粮食规模化种植集中的故市镇、官底镇实施整村推进，创建“三新”技术集成万亩片各1个，面积2万亩。</w:t>
      </w:r>
    </w:p>
    <w:p w14:paraId="799C41BE">
      <w:pPr>
        <w:spacing w:line="360" w:lineRule="auto"/>
        <w:ind w:firstLine="442" w:firstLineChars="200"/>
        <w:rPr>
          <w:rFonts w:hint="eastAsia" w:ascii="宋体" w:hAnsi="宋体" w:cs="宋体"/>
          <w:b/>
          <w:bCs/>
          <w:sz w:val="22"/>
          <w:szCs w:val="22"/>
        </w:rPr>
      </w:pPr>
      <w:r>
        <w:rPr>
          <w:rFonts w:hint="eastAsia" w:ascii="宋体" w:hAnsi="宋体" w:cs="宋体"/>
          <w:b/>
          <w:bCs/>
          <w:sz w:val="22"/>
          <w:szCs w:val="22"/>
        </w:rPr>
        <w:t>（二）实施内容</w:t>
      </w:r>
    </w:p>
    <w:p w14:paraId="2C4511C5">
      <w:pPr>
        <w:spacing w:line="360" w:lineRule="auto"/>
        <w:ind w:firstLine="440" w:firstLineChars="200"/>
        <w:rPr>
          <w:rFonts w:hint="eastAsia" w:ascii="宋体" w:hAnsi="宋体" w:cs="宋体"/>
          <w:sz w:val="22"/>
          <w:szCs w:val="22"/>
        </w:rPr>
      </w:pPr>
      <w:r>
        <w:rPr>
          <w:rFonts w:hint="eastAsia" w:ascii="宋体" w:hAnsi="宋体" w:cs="宋体"/>
          <w:sz w:val="22"/>
          <w:szCs w:val="22"/>
        </w:rPr>
        <w:t>“三新”集成示范区建设。建设小麦“三新”技术集成示范3万亩，包括无人机追肥示范、新型叶面肥应用示范、水肥一体化示范。</w:t>
      </w:r>
    </w:p>
    <w:p w14:paraId="605161FA">
      <w:pPr>
        <w:spacing w:line="360" w:lineRule="auto"/>
        <w:ind w:firstLine="440" w:firstLineChars="200"/>
        <w:rPr>
          <w:rFonts w:hint="eastAsia" w:ascii="宋体" w:hAnsi="宋体" w:cs="宋体"/>
          <w:sz w:val="22"/>
          <w:szCs w:val="22"/>
        </w:rPr>
      </w:pPr>
      <w:r>
        <w:rPr>
          <w:rFonts w:hint="eastAsia" w:ascii="宋体" w:hAnsi="宋体" w:cs="宋体"/>
          <w:sz w:val="22"/>
          <w:szCs w:val="22"/>
        </w:rPr>
        <w:t>1、千亩方。 无人机追肥示范：返青期-拔节期无人机撒施尿素（10kg/亩）作业0.6万亩+ 抽穗灌浆期无人机新型叶面肥喷施0.6万亩；</w:t>
      </w:r>
    </w:p>
    <w:p w14:paraId="6571B0F5">
      <w:pPr>
        <w:spacing w:line="360" w:lineRule="auto"/>
        <w:ind w:firstLine="440" w:firstLineChars="200"/>
        <w:rPr>
          <w:rFonts w:hint="eastAsia" w:ascii="宋体" w:hAnsi="宋体" w:cs="宋体"/>
          <w:sz w:val="22"/>
          <w:szCs w:val="22"/>
        </w:rPr>
      </w:pPr>
      <w:r>
        <w:rPr>
          <w:rFonts w:hint="eastAsia" w:ascii="宋体" w:hAnsi="宋体" w:cs="宋体"/>
          <w:sz w:val="22"/>
          <w:szCs w:val="22"/>
        </w:rPr>
        <w:t>水肥一体化示范：采购高氮水溶肥0.4万亩。</w:t>
      </w:r>
    </w:p>
    <w:p w14:paraId="07A4101A">
      <w:pPr>
        <w:spacing w:line="360" w:lineRule="auto"/>
        <w:ind w:firstLine="440" w:firstLineChars="200"/>
        <w:rPr>
          <w:rFonts w:hint="eastAsia" w:ascii="宋体" w:hAnsi="宋体" w:cs="宋体"/>
          <w:sz w:val="22"/>
          <w:szCs w:val="22"/>
        </w:rPr>
      </w:pPr>
      <w:r>
        <w:rPr>
          <w:rFonts w:hint="eastAsia" w:ascii="宋体" w:hAnsi="宋体" w:cs="宋体"/>
          <w:sz w:val="22"/>
          <w:szCs w:val="22"/>
        </w:rPr>
        <w:t>2、万亩片。返青期-拔节期无人机撒施尿素（10kg/亩）作业2万亩；抽穗灌浆期新型叶面肥采购2万亩。</w:t>
      </w:r>
    </w:p>
    <w:p w14:paraId="52E641E2">
      <w:pPr>
        <w:widowControl/>
        <w:tabs>
          <w:tab w:val="left" w:pos="0"/>
          <w:tab w:val="left" w:pos="437"/>
          <w:tab w:val="left" w:pos="1311"/>
        </w:tabs>
        <w:adjustRightInd w:val="0"/>
        <w:snapToGrid w:val="0"/>
        <w:spacing w:line="360" w:lineRule="auto"/>
        <w:ind w:firstLine="442" w:firstLineChars="200"/>
        <w:jc w:val="left"/>
        <w:rPr>
          <w:rFonts w:ascii="宋体" w:hAnsi="宋体" w:cs="宋体"/>
          <w:b/>
          <w:bCs/>
          <w:kern w:val="0"/>
          <w:sz w:val="22"/>
          <w:szCs w:val="22"/>
        </w:rPr>
      </w:pPr>
      <w:r>
        <w:rPr>
          <w:rFonts w:hint="eastAsia" w:ascii="宋体" w:hAnsi="宋体" w:cs="宋体"/>
          <w:b/>
          <w:bCs/>
          <w:kern w:val="0"/>
          <w:sz w:val="22"/>
          <w:szCs w:val="22"/>
        </w:rPr>
        <w:t>（</w:t>
      </w:r>
      <w:r>
        <w:rPr>
          <w:rFonts w:hint="eastAsia" w:ascii="宋体" w:hAnsi="宋体" w:cs="宋体"/>
          <w:b/>
          <w:bCs/>
          <w:kern w:val="0"/>
          <w:sz w:val="22"/>
          <w:szCs w:val="22"/>
          <w:lang w:val="en-US" w:eastAsia="zh-CN"/>
        </w:rPr>
        <w:t>三</w:t>
      </w:r>
      <w:r>
        <w:rPr>
          <w:rFonts w:hint="eastAsia" w:ascii="宋体" w:hAnsi="宋体" w:cs="宋体"/>
          <w:b/>
          <w:bCs/>
          <w:kern w:val="0"/>
          <w:sz w:val="22"/>
          <w:szCs w:val="22"/>
        </w:rPr>
        <w:t>）服务期限</w:t>
      </w:r>
    </w:p>
    <w:p w14:paraId="691DE818">
      <w:pPr>
        <w:spacing w:line="360" w:lineRule="auto"/>
        <w:ind w:firstLine="440" w:firstLineChars="200"/>
        <w:rPr>
          <w:rFonts w:hint="eastAsia" w:ascii="宋体" w:hAnsi="宋体" w:cs="宋体"/>
          <w:sz w:val="22"/>
          <w:szCs w:val="22"/>
        </w:rPr>
      </w:pPr>
      <w:r>
        <w:rPr>
          <w:rFonts w:hint="eastAsia" w:ascii="宋体" w:hAnsi="宋体" w:cs="宋体"/>
          <w:sz w:val="22"/>
          <w:szCs w:val="22"/>
          <w:u w:val="single"/>
        </w:rPr>
        <w:t xml:space="preserve">       </w:t>
      </w:r>
      <w:r>
        <w:rPr>
          <w:rFonts w:hint="eastAsia" w:ascii="宋体" w:hAnsi="宋体" w:cs="宋体"/>
          <w:sz w:val="22"/>
          <w:szCs w:val="22"/>
        </w:rPr>
        <w:t>日历天</w:t>
      </w:r>
    </w:p>
    <w:p w14:paraId="1BF4F222">
      <w:pPr>
        <w:widowControl/>
        <w:numPr>
          <w:ilvl w:val="0"/>
          <w:numId w:val="0"/>
        </w:numPr>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lang w:val="en-US" w:eastAsia="zh-CN"/>
        </w:rPr>
      </w:pPr>
      <w:r>
        <w:rPr>
          <w:rFonts w:hint="eastAsia" w:ascii="宋体" w:hAnsi="宋体" w:eastAsia="宋体" w:cs="宋体"/>
          <w:b/>
          <w:bCs/>
          <w:kern w:val="0"/>
          <w:sz w:val="22"/>
          <w:szCs w:val="22"/>
          <w:lang w:val="en-US" w:eastAsia="zh-CN" w:bidi="ar-SA"/>
        </w:rPr>
        <w:t>（</w:t>
      </w:r>
      <w:r>
        <w:rPr>
          <w:rFonts w:hint="eastAsia" w:ascii="宋体" w:hAnsi="宋体" w:cs="宋体"/>
          <w:b/>
          <w:bCs/>
          <w:kern w:val="0"/>
          <w:sz w:val="22"/>
          <w:szCs w:val="22"/>
          <w:lang w:val="en-US" w:eastAsia="zh-CN" w:bidi="ar-SA"/>
        </w:rPr>
        <w:t>四</w:t>
      </w:r>
      <w:r>
        <w:rPr>
          <w:rFonts w:hint="eastAsia" w:ascii="宋体" w:hAnsi="宋体" w:eastAsia="宋体" w:cs="宋体"/>
          <w:b/>
          <w:bCs/>
          <w:kern w:val="0"/>
          <w:sz w:val="22"/>
          <w:szCs w:val="22"/>
          <w:lang w:val="en-US" w:eastAsia="zh-CN" w:bidi="ar-SA"/>
        </w:rPr>
        <w:t>）</w:t>
      </w:r>
      <w:r>
        <w:rPr>
          <w:rFonts w:hint="eastAsia" w:ascii="宋体" w:hAnsi="宋体" w:cs="宋体"/>
          <w:b/>
          <w:bCs/>
          <w:kern w:val="0"/>
          <w:sz w:val="22"/>
          <w:szCs w:val="22"/>
          <w:lang w:val="en-US" w:eastAsia="zh-CN"/>
        </w:rPr>
        <w:t>项目负责人</w:t>
      </w:r>
    </w:p>
    <w:p w14:paraId="3643E1CB">
      <w:pPr>
        <w:spacing w:line="360" w:lineRule="auto"/>
        <w:ind w:firstLine="440" w:firstLineChars="200"/>
        <w:rPr>
          <w:rFonts w:hint="eastAsia" w:ascii="宋体" w:hAnsi="宋体" w:cs="宋体"/>
          <w:b/>
          <w:bCs/>
          <w:kern w:val="0"/>
          <w:sz w:val="22"/>
          <w:szCs w:val="22"/>
          <w:lang w:val="en-US" w:eastAsia="zh-CN"/>
        </w:rPr>
      </w:pPr>
      <w:r>
        <w:rPr>
          <w:rFonts w:hint="eastAsia" w:ascii="宋体" w:hAnsi="宋体" w:cs="宋体"/>
          <w:sz w:val="22"/>
          <w:szCs w:val="22"/>
          <w:u w:val="single"/>
        </w:rPr>
        <w:t xml:space="preserve">    </w:t>
      </w:r>
      <w:r>
        <w:rPr>
          <w:rFonts w:hint="eastAsia" w:ascii="宋体" w:hAnsi="宋体" w:cs="宋体"/>
          <w:sz w:val="22"/>
          <w:szCs w:val="22"/>
          <w:u w:val="single"/>
          <w:lang w:val="en-US" w:eastAsia="zh-CN"/>
        </w:rPr>
        <w:t xml:space="preserve">            </w:t>
      </w:r>
      <w:r>
        <w:rPr>
          <w:rFonts w:hint="eastAsia" w:ascii="宋体" w:hAnsi="宋体" w:cs="宋体"/>
          <w:sz w:val="22"/>
          <w:szCs w:val="22"/>
          <w:u w:val="single"/>
        </w:rPr>
        <w:t xml:space="preserve">   </w:t>
      </w:r>
    </w:p>
    <w:p w14:paraId="64A48594">
      <w:pPr>
        <w:widowControl/>
        <w:tabs>
          <w:tab w:val="left" w:pos="0"/>
          <w:tab w:val="left" w:pos="437"/>
          <w:tab w:val="left" w:pos="1311"/>
        </w:tabs>
        <w:adjustRightInd w:val="0"/>
        <w:snapToGrid w:val="0"/>
        <w:spacing w:line="360" w:lineRule="auto"/>
        <w:jc w:val="left"/>
        <w:rPr>
          <w:rFonts w:hint="eastAsia" w:ascii="宋体" w:hAnsi="宋体" w:cs="宋体"/>
          <w:b/>
          <w:bCs/>
          <w:kern w:val="0"/>
          <w:sz w:val="22"/>
          <w:szCs w:val="22"/>
        </w:rPr>
      </w:pPr>
      <w:r>
        <w:rPr>
          <w:rFonts w:hint="eastAsia" w:ascii="宋体" w:hAnsi="宋体" w:cs="宋体"/>
          <w:b/>
          <w:bCs/>
          <w:kern w:val="0"/>
          <w:sz w:val="22"/>
          <w:szCs w:val="22"/>
        </w:rPr>
        <w:t>五、技术资料</w:t>
      </w:r>
    </w:p>
    <w:p w14:paraId="1F57CF72">
      <w:pPr>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rPr>
        <w:t>1.双方承诺，在未征得对方书面同意前，任何一方不得将本合同内容及与本合同项下的技术服务有关的任何信息泄露给任何第三方。</w:t>
      </w:r>
    </w:p>
    <w:p w14:paraId="320BD632">
      <w:pPr>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rPr>
        <w:t>2.乙方保证上述软件独立开发完成，不会侵犯任何第三方的合法权益。且保证满足甲方的使用要求。</w:t>
      </w:r>
    </w:p>
    <w:p w14:paraId="5B0EDEE8">
      <w:pPr>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rPr>
        <w:t>3.乙方保证具有提供本合同约定技术服务的相应资质，并不得将合同事项委托给第三方。</w:t>
      </w:r>
    </w:p>
    <w:p w14:paraId="482202CC">
      <w:pPr>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rPr>
        <w:t>4.乙方对在履行本合同过程中知悉、获取的甲方信息应当保密，不得对外泄露或用于其他用途，否则应承担全部法律责任。</w:t>
      </w:r>
    </w:p>
    <w:p w14:paraId="27158D67">
      <w:pPr>
        <w:tabs>
          <w:tab w:val="left" w:pos="0"/>
          <w:tab w:val="left" w:pos="437"/>
          <w:tab w:val="left" w:pos="1311"/>
        </w:tabs>
        <w:adjustRightInd w:val="0"/>
        <w:snapToGrid w:val="0"/>
        <w:spacing w:line="360" w:lineRule="auto"/>
        <w:jc w:val="left"/>
        <w:rPr>
          <w:rFonts w:hint="eastAsia" w:ascii="宋体" w:hAnsi="宋体" w:cs="宋体"/>
          <w:kern w:val="0"/>
          <w:sz w:val="22"/>
          <w:szCs w:val="22"/>
        </w:rPr>
      </w:pPr>
      <w:r>
        <w:rPr>
          <w:rFonts w:hint="eastAsia" w:ascii="宋体" w:hAnsi="宋体" w:cs="宋体"/>
          <w:b/>
          <w:kern w:val="0"/>
          <w:sz w:val="22"/>
          <w:szCs w:val="22"/>
        </w:rPr>
        <w:t>六、验 收</w:t>
      </w:r>
    </w:p>
    <w:p w14:paraId="686E0A1B">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kern w:val="0"/>
          <w:sz w:val="22"/>
          <w:szCs w:val="22"/>
        </w:rPr>
      </w:pPr>
      <w:r>
        <w:rPr>
          <w:rFonts w:hint="eastAsia" w:ascii="宋体" w:hAnsi="宋体" w:cs="宋体"/>
          <w:kern w:val="0"/>
          <w:sz w:val="22"/>
          <w:szCs w:val="22"/>
        </w:rPr>
        <w:t>1.服务满足《2025年临渭区科学施肥增效“三新”集成推进项目实施方案》及其他相关要求。</w:t>
      </w:r>
    </w:p>
    <w:p w14:paraId="513D3A7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kern w:val="0"/>
          <w:sz w:val="22"/>
          <w:szCs w:val="22"/>
        </w:rPr>
      </w:pPr>
      <w:r>
        <w:rPr>
          <w:rFonts w:hint="eastAsia" w:ascii="宋体" w:hAnsi="宋体" w:cs="宋体"/>
          <w:kern w:val="0"/>
          <w:sz w:val="22"/>
          <w:szCs w:val="22"/>
        </w:rPr>
        <w:t>2.选择的肥料要符合国家标准，高效低毒、安全环保。</w:t>
      </w:r>
    </w:p>
    <w:p w14:paraId="55A18986">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kern w:val="0"/>
          <w:sz w:val="22"/>
          <w:szCs w:val="22"/>
        </w:rPr>
      </w:pPr>
      <w:r>
        <w:rPr>
          <w:rFonts w:hint="eastAsia" w:ascii="宋体" w:hAnsi="宋体" w:cs="宋体"/>
          <w:kern w:val="0"/>
          <w:sz w:val="22"/>
          <w:szCs w:val="22"/>
        </w:rPr>
        <w:t>3.严格按照要求组织施肥增效工作，服务前按服务要求筹备各项</w:t>
      </w:r>
      <w:bookmarkStart w:id="4" w:name="_GoBack"/>
      <w:bookmarkEnd w:id="4"/>
      <w:r>
        <w:rPr>
          <w:rFonts w:hint="eastAsia" w:ascii="宋体" w:hAnsi="宋体" w:cs="宋体"/>
          <w:kern w:val="0"/>
          <w:sz w:val="22"/>
          <w:szCs w:val="22"/>
        </w:rPr>
        <w:t>器械、材料、工具等，按技术规定进行作业。</w:t>
      </w:r>
    </w:p>
    <w:p w14:paraId="58F045F2">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kern w:val="0"/>
          <w:sz w:val="22"/>
          <w:szCs w:val="22"/>
        </w:rPr>
      </w:pPr>
      <w:r>
        <w:rPr>
          <w:rFonts w:hint="eastAsia" w:ascii="宋体" w:hAnsi="宋体" w:cs="宋体"/>
          <w:kern w:val="0"/>
          <w:sz w:val="22"/>
          <w:szCs w:val="22"/>
        </w:rPr>
        <w:t>4.验收：采购人根据招标文件、投标文件和合同约定标准、技术和服务逐项验收。服务内容完成后，采购人组织相关部门进行现场验收。</w:t>
      </w:r>
    </w:p>
    <w:p w14:paraId="3E9E4ABD">
      <w:pPr>
        <w:widowControl/>
        <w:tabs>
          <w:tab w:val="left" w:pos="0"/>
          <w:tab w:val="left" w:pos="437"/>
          <w:tab w:val="left" w:pos="1311"/>
        </w:tabs>
        <w:adjustRightInd w:val="0"/>
        <w:snapToGrid w:val="0"/>
        <w:spacing w:line="360" w:lineRule="auto"/>
        <w:jc w:val="left"/>
        <w:rPr>
          <w:rFonts w:hint="eastAsia" w:ascii="宋体" w:hAnsi="宋体" w:cs="宋体"/>
          <w:b/>
          <w:bCs/>
          <w:kern w:val="0"/>
          <w:sz w:val="22"/>
          <w:szCs w:val="22"/>
        </w:rPr>
      </w:pPr>
      <w:r>
        <w:rPr>
          <w:rFonts w:hint="eastAsia" w:ascii="宋体" w:hAnsi="宋体" w:cs="宋体"/>
          <w:b/>
          <w:bCs/>
          <w:kern w:val="0"/>
          <w:sz w:val="22"/>
          <w:szCs w:val="22"/>
        </w:rPr>
        <w:t>七、转让或分包</w:t>
      </w:r>
    </w:p>
    <w:p w14:paraId="78623DC9">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rPr>
        <w:t>1.本合同范围的项目服务内容，应由乙方直接服务，不得整体转让他人。</w:t>
      </w:r>
    </w:p>
    <w:p w14:paraId="4AEA7FA2">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rPr>
        <w:t>2.如有整体转让和未经采购人同意的分包行为，采购人有权解除合同，并要求中标人根据采购人的直接损失，部分或全部退还采购人已支付的报酬。</w:t>
      </w:r>
    </w:p>
    <w:p w14:paraId="7EF41413">
      <w:pPr>
        <w:widowControl/>
        <w:tabs>
          <w:tab w:val="left" w:pos="0"/>
          <w:tab w:val="left" w:pos="437"/>
          <w:tab w:val="left" w:pos="1311"/>
        </w:tabs>
        <w:adjustRightInd w:val="0"/>
        <w:snapToGrid w:val="0"/>
        <w:spacing w:line="360" w:lineRule="auto"/>
        <w:jc w:val="left"/>
        <w:rPr>
          <w:rFonts w:hint="eastAsia" w:ascii="宋体" w:hAnsi="宋体" w:cs="宋体"/>
          <w:b/>
          <w:kern w:val="0"/>
          <w:sz w:val="22"/>
          <w:szCs w:val="22"/>
        </w:rPr>
      </w:pPr>
      <w:r>
        <w:rPr>
          <w:rFonts w:hint="eastAsia" w:ascii="宋体" w:hAnsi="宋体" w:cs="宋体"/>
          <w:b/>
          <w:kern w:val="0"/>
          <w:sz w:val="22"/>
          <w:szCs w:val="22"/>
        </w:rPr>
        <w:t>八、甲方的权利及义务</w:t>
      </w:r>
    </w:p>
    <w:p w14:paraId="4C549DE8">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rPr>
      </w:pPr>
      <w:r>
        <w:rPr>
          <w:rFonts w:hint="eastAsia" w:ascii="宋体" w:hAnsi="宋体" w:cs="宋体"/>
          <w:b/>
          <w:bCs/>
          <w:kern w:val="0"/>
          <w:sz w:val="22"/>
          <w:szCs w:val="22"/>
        </w:rPr>
        <w:t>（一）甲方的权利</w:t>
      </w:r>
    </w:p>
    <w:p w14:paraId="61B0035C">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1．甲方有权向乙方询问工作进展情况及相关的内容。</w:t>
      </w:r>
    </w:p>
    <w:p w14:paraId="13F5FA50">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2．甲方有权阐述对具体问题的意见和建议。</w:t>
      </w:r>
    </w:p>
    <w:p w14:paraId="0409174C">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3. 甲方有权根据项目的具体情况，要求乙方按期到项目现场协调解决问题。</w:t>
      </w:r>
    </w:p>
    <w:p w14:paraId="396EE10D">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4．当甲方认定乙方专业人员不按合同履行其职责，或与第三人串通给乙方造成经济损失的，甲方有权要求更换专业人员，直至终止合同并要求乙方承担相应的赔偿责任。</w:t>
      </w:r>
    </w:p>
    <w:p w14:paraId="7F2E4112">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rPr>
      </w:pPr>
      <w:r>
        <w:rPr>
          <w:rFonts w:hint="eastAsia" w:ascii="宋体" w:hAnsi="宋体" w:cs="宋体"/>
          <w:b/>
          <w:bCs/>
          <w:kern w:val="0"/>
          <w:sz w:val="22"/>
          <w:szCs w:val="22"/>
        </w:rPr>
        <w:t>（二）甲方的义务</w:t>
      </w:r>
    </w:p>
    <w:p w14:paraId="403B0C0D">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1.甲方应当在约定的时间内，向乙方提供与本项目实施有关的资料。</w:t>
      </w:r>
    </w:p>
    <w:p w14:paraId="3E67EDB2">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2.甲方对乙方的生产运行状态进行监督检查发现问题及时提出整改意见。</w:t>
      </w:r>
    </w:p>
    <w:p w14:paraId="0A9D29B8">
      <w:pPr>
        <w:widowControl/>
        <w:tabs>
          <w:tab w:val="left" w:pos="0"/>
          <w:tab w:val="left" w:pos="437"/>
          <w:tab w:val="left" w:pos="1311"/>
        </w:tabs>
        <w:adjustRightInd w:val="0"/>
        <w:snapToGrid w:val="0"/>
        <w:spacing w:line="360" w:lineRule="auto"/>
        <w:jc w:val="left"/>
        <w:rPr>
          <w:rFonts w:hint="eastAsia" w:ascii="宋体" w:hAnsi="宋体" w:cs="宋体"/>
          <w:b/>
          <w:kern w:val="0"/>
          <w:sz w:val="22"/>
          <w:szCs w:val="22"/>
        </w:rPr>
      </w:pPr>
      <w:r>
        <w:rPr>
          <w:rFonts w:hint="eastAsia" w:ascii="宋体" w:hAnsi="宋体" w:cs="宋体"/>
          <w:b/>
          <w:kern w:val="0"/>
          <w:sz w:val="22"/>
          <w:szCs w:val="22"/>
        </w:rPr>
        <w:t>九、乙方的权利及义务</w:t>
      </w:r>
    </w:p>
    <w:p w14:paraId="69C66EDA">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（一）乙方的权利</w:t>
      </w:r>
    </w:p>
    <w:p w14:paraId="0B4CB92F">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1.乙方在项目实施过程中，如甲方提供的资料不明确时，可向甲方提出书面报告。</w:t>
      </w:r>
    </w:p>
    <w:p w14:paraId="7014D500">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2.乙方在项目实施过程中，有到项目现场勘察的权利。</w:t>
      </w:r>
    </w:p>
    <w:p w14:paraId="641C253C">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rPr>
      </w:pPr>
      <w:r>
        <w:rPr>
          <w:rFonts w:hint="eastAsia" w:ascii="宋体" w:hAnsi="宋体" w:cs="宋体"/>
          <w:b/>
          <w:bCs/>
          <w:kern w:val="0"/>
          <w:sz w:val="22"/>
          <w:szCs w:val="22"/>
        </w:rPr>
        <w:t>（二）乙方的义务</w:t>
      </w:r>
    </w:p>
    <w:p w14:paraId="2268D848">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bookmarkStart w:id="3" w:name="_Toc143630947"/>
      <w:r>
        <w:rPr>
          <w:rFonts w:hint="eastAsia" w:ascii="宋体" w:hAnsi="宋体" w:cs="宋体"/>
          <w:bCs/>
          <w:kern w:val="0"/>
          <w:sz w:val="22"/>
          <w:szCs w:val="22"/>
        </w:rPr>
        <w:t>1．向采购人提供与本项目有关的资料，包括</w:t>
      </w:r>
      <w:r>
        <w:rPr>
          <w:rFonts w:hint="eastAsia" w:ascii="宋体" w:hAnsi="宋体" w:cs="宋体"/>
          <w:bCs/>
          <w:kern w:val="0"/>
          <w:sz w:val="22"/>
          <w:szCs w:val="22"/>
          <w:lang w:val="en-US" w:eastAsia="zh-CN"/>
        </w:rPr>
        <w:t>设备、肥料</w:t>
      </w:r>
      <w:r>
        <w:rPr>
          <w:rFonts w:hint="eastAsia" w:ascii="宋体" w:hAnsi="宋体" w:cs="宋体"/>
          <w:bCs/>
          <w:kern w:val="0"/>
          <w:sz w:val="22"/>
          <w:szCs w:val="22"/>
        </w:rPr>
        <w:t>及承担本项目的作业人安全保障措施等，并按合同约定的范围实施业务。</w:t>
      </w:r>
    </w:p>
    <w:p w14:paraId="41E2CC7A">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rPr>
        <w:t>2．供应商在履行本合同期间，向采购人提供与本项目有关的一切服务。</w:t>
      </w:r>
    </w:p>
    <w:p w14:paraId="55A873AA">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rPr>
        <w:t>3.</w:t>
      </w:r>
      <w:r>
        <w:rPr>
          <w:rFonts w:hint="eastAsia" w:ascii="宋体" w:hAnsi="宋体" w:cs="宋体"/>
          <w:bCs/>
          <w:kern w:val="0"/>
          <w:sz w:val="22"/>
          <w:szCs w:val="22"/>
          <w:lang w:val="en-US" w:eastAsia="zh-CN"/>
        </w:rPr>
        <w:t>肥料</w:t>
      </w:r>
      <w:r>
        <w:rPr>
          <w:rFonts w:hint="eastAsia" w:ascii="宋体" w:hAnsi="宋体" w:cs="宋体"/>
          <w:bCs/>
          <w:kern w:val="0"/>
          <w:sz w:val="22"/>
          <w:szCs w:val="22"/>
        </w:rPr>
        <w:t>要求有肥料登记证或农业农村部肥料备案信息系统、省级农业农村部门肥料备案信息系统备案凭证或相关许可手续。</w:t>
      </w:r>
    </w:p>
    <w:p w14:paraId="4A7842DE">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lang w:val="en-US" w:eastAsia="zh-CN"/>
        </w:rPr>
        <w:t>4.无人机追肥操作人员须具有无人机操作相关证件</w:t>
      </w:r>
      <w:r>
        <w:rPr>
          <w:rFonts w:hint="eastAsia" w:ascii="宋体" w:hAnsi="宋体" w:cs="宋体"/>
          <w:bCs/>
          <w:kern w:val="0"/>
          <w:sz w:val="22"/>
          <w:szCs w:val="22"/>
        </w:rPr>
        <w:t>。</w:t>
      </w:r>
    </w:p>
    <w:p w14:paraId="569BB4FB">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bCs/>
          <w:kern w:val="0"/>
          <w:sz w:val="22"/>
          <w:szCs w:val="22"/>
        </w:rPr>
      </w:pPr>
      <w:r>
        <w:rPr>
          <w:rFonts w:hint="eastAsia" w:ascii="宋体" w:hAnsi="宋体" w:cs="宋体"/>
          <w:bCs/>
          <w:kern w:val="0"/>
          <w:sz w:val="22"/>
          <w:szCs w:val="22"/>
          <w:lang w:val="en-US" w:eastAsia="zh-CN"/>
        </w:rPr>
        <w:t>5</w:t>
      </w:r>
      <w:r>
        <w:rPr>
          <w:rFonts w:hint="eastAsia" w:ascii="宋体" w:hAnsi="宋体" w:cs="宋体"/>
          <w:bCs/>
          <w:kern w:val="0"/>
          <w:sz w:val="22"/>
          <w:szCs w:val="22"/>
        </w:rPr>
        <w:t>.</w:t>
      </w:r>
      <w:r>
        <w:rPr>
          <w:rFonts w:hint="eastAsia" w:ascii="宋体" w:hAnsi="宋体" w:cs="宋体"/>
          <w:bCs/>
          <w:kern w:val="0"/>
          <w:sz w:val="22"/>
          <w:szCs w:val="22"/>
          <w:lang w:val="en-US" w:eastAsia="zh-CN"/>
        </w:rPr>
        <w:t>根据招标文件和投标文件约定，供应商安排</w:t>
      </w:r>
      <w:r>
        <w:rPr>
          <w:rFonts w:hint="eastAsia" w:ascii="宋体" w:hAnsi="宋体" w:cs="宋体"/>
          <w:bCs/>
          <w:kern w:val="0"/>
          <w:sz w:val="22"/>
          <w:szCs w:val="22"/>
        </w:rPr>
        <w:t>一名项目负责人，一名技术负责人对作业过程中作业进度、服务质量、作业人员管理进行总协调，确保技术措施的落实，按时参加采购人组织的相关会议和活动，服从采购人的工作制度和工作规范。</w:t>
      </w:r>
    </w:p>
    <w:p w14:paraId="5225D93B">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lang w:val="en-US" w:eastAsia="zh-CN"/>
        </w:rPr>
        <w:t>8</w:t>
      </w:r>
      <w:r>
        <w:rPr>
          <w:rFonts w:hint="eastAsia" w:ascii="宋体" w:hAnsi="宋体" w:cs="宋体"/>
          <w:bCs/>
          <w:kern w:val="0"/>
          <w:sz w:val="22"/>
          <w:szCs w:val="22"/>
        </w:rPr>
        <w:t>.</w:t>
      </w:r>
      <w:r>
        <w:rPr>
          <w:rFonts w:hint="eastAsia" w:ascii="宋体" w:hAnsi="宋体" w:cs="宋体"/>
          <w:bCs/>
          <w:kern w:val="0"/>
          <w:sz w:val="22"/>
          <w:szCs w:val="22"/>
          <w:lang w:val="en-US" w:eastAsia="zh-CN"/>
        </w:rPr>
        <w:t>供应商</w:t>
      </w:r>
      <w:r>
        <w:rPr>
          <w:rFonts w:hint="eastAsia" w:ascii="宋体" w:hAnsi="宋体" w:cs="宋体"/>
          <w:bCs/>
          <w:kern w:val="0"/>
          <w:sz w:val="22"/>
          <w:szCs w:val="22"/>
        </w:rPr>
        <w:t>向采购人提供项目作业计划和安全责任协议等，其内容包括管理机构的设置、各主要岗位的技术和管理员名单、资质、联系方式及各工种技术工人的安排、项目实施进度安排、技术措施等状况。</w:t>
      </w:r>
    </w:p>
    <w:p w14:paraId="102A5F45">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lang w:val="en-US" w:eastAsia="zh-CN"/>
        </w:rPr>
        <w:t>9</w:t>
      </w:r>
      <w:r>
        <w:rPr>
          <w:rFonts w:hint="eastAsia" w:ascii="宋体" w:hAnsi="宋体" w:cs="宋体"/>
          <w:bCs/>
          <w:kern w:val="0"/>
          <w:sz w:val="22"/>
          <w:szCs w:val="22"/>
        </w:rPr>
        <w:t>.严格按照服务要求进行作业，作业前按项目要求筹备各项器械、材料、工具等，按技术规定进行作业。</w:t>
      </w:r>
    </w:p>
    <w:p w14:paraId="4ED20D32">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lang w:val="en-US" w:eastAsia="zh-CN"/>
        </w:rPr>
        <w:t>10</w:t>
      </w:r>
      <w:r>
        <w:rPr>
          <w:rFonts w:hint="eastAsia" w:ascii="宋体" w:hAnsi="宋体" w:cs="宋体"/>
          <w:bCs/>
          <w:kern w:val="0"/>
          <w:sz w:val="22"/>
          <w:szCs w:val="22"/>
        </w:rPr>
        <w:t>.协助采购人及时组织召开检查验收、效果评价和验收工作会议。</w:t>
      </w:r>
    </w:p>
    <w:p w14:paraId="2610700D">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lang w:val="en-US" w:eastAsia="zh-CN"/>
        </w:rPr>
        <w:t>11</w:t>
      </w:r>
      <w:r>
        <w:rPr>
          <w:rFonts w:hint="eastAsia" w:ascii="宋体" w:hAnsi="宋体" w:cs="宋体"/>
          <w:bCs/>
          <w:kern w:val="0"/>
          <w:sz w:val="22"/>
          <w:szCs w:val="22"/>
        </w:rPr>
        <w:t>.成交供应商向采购人提交作业过程性资料，按相关要求执行。</w:t>
      </w:r>
    </w:p>
    <w:p w14:paraId="0734925E">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lang w:val="en-US" w:eastAsia="zh-CN"/>
        </w:rPr>
        <w:t>12</w:t>
      </w:r>
      <w:r>
        <w:rPr>
          <w:rFonts w:hint="eastAsia" w:ascii="宋体" w:hAnsi="宋体" w:cs="宋体"/>
          <w:bCs/>
          <w:kern w:val="0"/>
          <w:sz w:val="22"/>
          <w:szCs w:val="22"/>
        </w:rPr>
        <w:t>.有各类突发事件的应急预案和措施，有明确具体的承诺。</w:t>
      </w:r>
    </w:p>
    <w:bookmarkEnd w:id="3"/>
    <w:p w14:paraId="7712B710">
      <w:pPr>
        <w:widowControl/>
        <w:tabs>
          <w:tab w:val="left" w:pos="0"/>
          <w:tab w:val="left" w:pos="437"/>
          <w:tab w:val="left" w:pos="1311"/>
        </w:tabs>
        <w:adjustRightInd w:val="0"/>
        <w:snapToGrid w:val="0"/>
        <w:spacing w:line="360" w:lineRule="auto"/>
        <w:jc w:val="left"/>
        <w:rPr>
          <w:rFonts w:hint="eastAsia" w:ascii="宋体" w:hAnsi="宋体" w:cs="宋体"/>
          <w:b/>
          <w:kern w:val="0"/>
          <w:sz w:val="22"/>
          <w:szCs w:val="22"/>
        </w:rPr>
      </w:pPr>
      <w:r>
        <w:rPr>
          <w:rFonts w:hint="eastAsia" w:ascii="宋体" w:hAnsi="宋体" w:cs="宋体"/>
          <w:b/>
          <w:kern w:val="0"/>
          <w:sz w:val="22"/>
          <w:szCs w:val="22"/>
        </w:rPr>
        <w:t>十、服务质量保证</w:t>
      </w:r>
    </w:p>
    <w:p w14:paraId="2D69C39C">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sz w:val="22"/>
          <w:szCs w:val="22"/>
        </w:rPr>
      </w:pPr>
      <w:r>
        <w:rPr>
          <w:rFonts w:hint="eastAsia" w:ascii="宋体" w:hAnsi="宋体" w:cs="宋体"/>
          <w:bCs/>
          <w:sz w:val="22"/>
          <w:szCs w:val="22"/>
        </w:rPr>
        <w:t>需执行的国家相关标准、行业标准、地方标准或者其他标准、规范标准</w:t>
      </w:r>
    </w:p>
    <w:p w14:paraId="64B26756">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sz w:val="22"/>
          <w:szCs w:val="22"/>
        </w:rPr>
      </w:pPr>
      <w:r>
        <w:rPr>
          <w:rFonts w:hint="eastAsia" w:ascii="宋体" w:hAnsi="宋体" w:cs="宋体"/>
          <w:bCs/>
          <w:sz w:val="22"/>
          <w:szCs w:val="22"/>
        </w:rPr>
        <w:t>《尿素》（GB/T 2440-2017）</w:t>
      </w:r>
    </w:p>
    <w:p w14:paraId="54C5F04D">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sz w:val="22"/>
          <w:szCs w:val="22"/>
        </w:rPr>
      </w:pPr>
      <w:r>
        <w:rPr>
          <w:rFonts w:hint="eastAsia" w:ascii="宋体" w:hAnsi="宋体" w:cs="宋体"/>
          <w:bCs/>
          <w:sz w:val="22"/>
          <w:szCs w:val="22"/>
        </w:rPr>
        <w:t>《农业无人机作业规范飞  撒颗粒肥》（T/NANTEA 0032-2024）</w:t>
      </w:r>
    </w:p>
    <w:p w14:paraId="214D967D">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sz w:val="22"/>
          <w:szCs w:val="22"/>
        </w:rPr>
      </w:pPr>
      <w:r>
        <w:rPr>
          <w:rFonts w:hint="eastAsia" w:ascii="宋体" w:hAnsi="宋体" w:cs="宋体"/>
          <w:bCs/>
          <w:sz w:val="22"/>
          <w:szCs w:val="22"/>
        </w:rPr>
        <w:t>《农用无人机驾驶航空器播撒作业质量》（MH/T 1002.2）</w:t>
      </w:r>
    </w:p>
    <w:p w14:paraId="03612DF9">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sz w:val="22"/>
          <w:szCs w:val="22"/>
        </w:rPr>
      </w:pPr>
      <w:r>
        <w:rPr>
          <w:rFonts w:hint="eastAsia" w:ascii="宋体" w:hAnsi="宋体" w:cs="宋体"/>
          <w:bCs/>
          <w:sz w:val="22"/>
          <w:szCs w:val="22"/>
        </w:rPr>
        <w:t>《肥料合理使用准则 通则》（NY/T 496）</w:t>
      </w:r>
    </w:p>
    <w:p w14:paraId="5802517B">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sz w:val="22"/>
          <w:szCs w:val="22"/>
        </w:rPr>
      </w:pPr>
      <w:r>
        <w:rPr>
          <w:rFonts w:hint="eastAsia" w:ascii="宋体" w:hAnsi="宋体" w:cs="宋体"/>
          <w:bCs/>
          <w:sz w:val="22"/>
          <w:szCs w:val="22"/>
        </w:rPr>
        <w:t>《植保无人飞机安全施药技术规程》（NY/T 4259-2022）</w:t>
      </w:r>
    </w:p>
    <w:p w14:paraId="3A5D5E88">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sz w:val="22"/>
          <w:szCs w:val="22"/>
        </w:rPr>
      </w:pPr>
      <w:r>
        <w:rPr>
          <w:rFonts w:hint="eastAsia" w:ascii="宋体" w:hAnsi="宋体" w:cs="宋体"/>
          <w:bCs/>
          <w:sz w:val="22"/>
          <w:szCs w:val="22"/>
        </w:rPr>
        <w:t>《大量元素水溶肥料》(NY/T 1107-2020)</w:t>
      </w:r>
    </w:p>
    <w:p w14:paraId="6B2122FB">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sz w:val="22"/>
          <w:szCs w:val="22"/>
        </w:rPr>
      </w:pPr>
      <w:r>
        <w:rPr>
          <w:rFonts w:hint="eastAsia" w:ascii="宋体" w:hAnsi="宋体" w:cs="宋体"/>
          <w:bCs/>
          <w:sz w:val="22"/>
          <w:szCs w:val="22"/>
        </w:rPr>
        <w:t>国家及行业其他规范及要求。</w:t>
      </w:r>
    </w:p>
    <w:p w14:paraId="77FD775F">
      <w:pPr>
        <w:widowControl/>
        <w:tabs>
          <w:tab w:val="left" w:pos="0"/>
          <w:tab w:val="left" w:pos="437"/>
          <w:tab w:val="left" w:pos="1311"/>
        </w:tabs>
        <w:adjustRightInd w:val="0"/>
        <w:snapToGrid w:val="0"/>
        <w:spacing w:line="360" w:lineRule="auto"/>
        <w:jc w:val="left"/>
        <w:rPr>
          <w:rFonts w:hint="eastAsia" w:ascii="宋体" w:hAnsi="宋体" w:cs="宋体"/>
          <w:b/>
          <w:sz w:val="22"/>
          <w:szCs w:val="22"/>
        </w:rPr>
      </w:pPr>
      <w:r>
        <w:rPr>
          <w:rFonts w:hint="eastAsia" w:ascii="宋体" w:hAnsi="宋体" w:cs="宋体"/>
          <w:b/>
          <w:sz w:val="22"/>
          <w:szCs w:val="22"/>
        </w:rPr>
        <w:t>十一、违约责任</w:t>
      </w:r>
    </w:p>
    <w:p w14:paraId="114D9F03">
      <w:pPr>
        <w:pStyle w:val="10"/>
        <w:numPr>
          <w:ilvl w:val="1"/>
          <w:numId w:val="0"/>
        </w:numPr>
        <w:spacing w:line="360" w:lineRule="auto"/>
        <w:ind w:firstLine="440" w:firstLineChars="200"/>
        <w:rPr>
          <w:rFonts w:hint="eastAsia" w:ascii="宋体" w:hAnsi="宋体" w:cs="宋体"/>
          <w:kern w:val="0"/>
          <w:sz w:val="22"/>
          <w:szCs w:val="22"/>
        </w:rPr>
      </w:pPr>
      <w:r>
        <w:rPr>
          <w:rFonts w:hint="eastAsia" w:ascii="宋体" w:hAnsi="宋体" w:cs="宋体"/>
          <w:kern w:val="0"/>
          <w:sz w:val="22"/>
          <w:szCs w:val="22"/>
          <w:lang w:val="en-US" w:eastAsia="zh-CN"/>
        </w:rPr>
        <w:t>1</w:t>
      </w:r>
      <w:r>
        <w:rPr>
          <w:rFonts w:hint="eastAsia" w:ascii="宋体" w:hAnsi="宋体" w:cs="宋体"/>
          <w:kern w:val="0"/>
          <w:sz w:val="22"/>
          <w:szCs w:val="22"/>
        </w:rPr>
        <w:t>.乙方不能按合同规定的时间提交工作成果和提供服务时，或提供的技术服务有瑕疵，不能满足甲方正常使用的，视为违约，乙方应向甲方支付合同总价10%的违约金并承担由此给甲方造成的全部损失，包括但不限于违约金、损失赔偿金等。</w:t>
      </w:r>
    </w:p>
    <w:p w14:paraId="3B8C4725">
      <w:pPr>
        <w:pStyle w:val="10"/>
        <w:numPr>
          <w:ilvl w:val="1"/>
          <w:numId w:val="0"/>
        </w:numPr>
        <w:spacing w:line="360" w:lineRule="auto"/>
        <w:ind w:firstLine="440" w:firstLineChars="200"/>
        <w:rPr>
          <w:rFonts w:hint="eastAsia" w:ascii="宋体" w:hAnsi="宋体" w:cs="宋体"/>
          <w:kern w:val="0"/>
          <w:sz w:val="22"/>
          <w:szCs w:val="22"/>
        </w:rPr>
      </w:pPr>
      <w:r>
        <w:rPr>
          <w:rFonts w:hint="eastAsia" w:ascii="宋体" w:hAnsi="宋体" w:cs="宋体"/>
          <w:kern w:val="0"/>
          <w:sz w:val="22"/>
          <w:szCs w:val="22"/>
          <w:lang w:val="en-US" w:eastAsia="zh-CN"/>
        </w:rPr>
        <w:t>2</w:t>
      </w:r>
      <w:r>
        <w:rPr>
          <w:rFonts w:hint="eastAsia" w:ascii="宋体" w:hAnsi="宋体" w:cs="宋体"/>
          <w:kern w:val="0"/>
          <w:sz w:val="22"/>
          <w:szCs w:val="22"/>
        </w:rPr>
        <w:t>.特殊情况下，乙方征得甲方书面同意后，合同履行期限可以顺延。若乙方在甲方规定期限内仍无法提交工作成果和提供服务时，每迟延一天，甲方按本合同未完成部分价格的15%扣除乙方未支付的合同款，直至乙方完成合同约定内容。</w:t>
      </w:r>
    </w:p>
    <w:p w14:paraId="18B79AFA">
      <w:pPr>
        <w:widowControl/>
        <w:tabs>
          <w:tab w:val="left" w:pos="0"/>
          <w:tab w:val="left" w:pos="437"/>
          <w:tab w:val="left" w:pos="1311"/>
        </w:tabs>
        <w:adjustRightInd w:val="0"/>
        <w:snapToGrid w:val="0"/>
        <w:spacing w:line="360" w:lineRule="auto"/>
        <w:jc w:val="left"/>
        <w:rPr>
          <w:rFonts w:hint="eastAsia" w:ascii="宋体" w:hAnsi="宋体" w:cs="宋体"/>
          <w:b/>
          <w:bCs/>
          <w:kern w:val="0"/>
          <w:sz w:val="22"/>
          <w:szCs w:val="22"/>
        </w:rPr>
      </w:pPr>
      <w:r>
        <w:rPr>
          <w:rFonts w:hint="eastAsia" w:ascii="宋体" w:hAnsi="宋体" w:cs="宋体"/>
          <w:b/>
          <w:bCs/>
          <w:kern w:val="0"/>
          <w:sz w:val="22"/>
          <w:szCs w:val="22"/>
        </w:rPr>
        <w:t>十二、不可抗力事件处理</w:t>
      </w:r>
    </w:p>
    <w:p w14:paraId="69A00D4B">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1. 在合同有效期内，任何一方因不可抗力事件导致不能履行合同，则合同履行期可延长，其延长期与不可抗力影响期相同。</w:t>
      </w:r>
    </w:p>
    <w:p w14:paraId="3C4823F9">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2. 不可抗力事件发生后，应立即通知对方，并寄送有关权威机构出具的证明。</w:t>
      </w:r>
    </w:p>
    <w:p w14:paraId="769B79AF">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3. 不可抗力事件延续120天以上，双方应通过友好协商，确定是否继续履行合同。</w:t>
      </w:r>
    </w:p>
    <w:p w14:paraId="2257534C">
      <w:pPr>
        <w:widowControl/>
        <w:tabs>
          <w:tab w:val="left" w:pos="0"/>
          <w:tab w:val="left" w:pos="437"/>
          <w:tab w:val="left" w:pos="1311"/>
        </w:tabs>
        <w:adjustRightInd w:val="0"/>
        <w:snapToGrid w:val="0"/>
        <w:spacing w:line="360" w:lineRule="auto"/>
        <w:jc w:val="left"/>
        <w:rPr>
          <w:rFonts w:hint="eastAsia" w:ascii="宋体" w:hAnsi="宋体" w:cs="宋体"/>
          <w:b/>
          <w:bCs/>
          <w:kern w:val="0"/>
          <w:sz w:val="22"/>
          <w:szCs w:val="22"/>
        </w:rPr>
      </w:pPr>
      <w:r>
        <w:rPr>
          <w:rFonts w:hint="eastAsia" w:ascii="宋体" w:hAnsi="宋体" w:cs="宋体"/>
          <w:b/>
          <w:bCs/>
          <w:kern w:val="0"/>
          <w:sz w:val="22"/>
          <w:szCs w:val="22"/>
        </w:rPr>
        <w:t>十三、争议解决与适用法律</w:t>
      </w:r>
    </w:p>
    <w:p w14:paraId="42A9B54E">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1.如双方就本合同内容或其执行发生任何争议，双方应进行友好协商；协商不成时，依法提交诉方所在地人民法院解决。</w:t>
      </w:r>
    </w:p>
    <w:p w14:paraId="3F848B1E">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2.本合同的订立、执行和解释及争议的解决均应适用中国法律。</w:t>
      </w:r>
    </w:p>
    <w:p w14:paraId="139F5A82">
      <w:pPr>
        <w:widowControl/>
        <w:tabs>
          <w:tab w:val="left" w:pos="0"/>
          <w:tab w:val="left" w:pos="437"/>
          <w:tab w:val="left" w:pos="1311"/>
        </w:tabs>
        <w:adjustRightInd w:val="0"/>
        <w:snapToGrid w:val="0"/>
        <w:spacing w:line="360" w:lineRule="auto"/>
        <w:jc w:val="left"/>
        <w:rPr>
          <w:rFonts w:hint="eastAsia" w:ascii="宋体" w:hAnsi="宋体" w:cs="宋体"/>
          <w:b/>
          <w:bCs/>
          <w:kern w:val="0"/>
          <w:sz w:val="22"/>
          <w:szCs w:val="22"/>
        </w:rPr>
      </w:pPr>
      <w:r>
        <w:rPr>
          <w:rFonts w:hint="eastAsia" w:ascii="宋体" w:hAnsi="宋体" w:cs="宋体"/>
          <w:b/>
          <w:bCs/>
          <w:kern w:val="0"/>
          <w:sz w:val="22"/>
          <w:szCs w:val="22"/>
        </w:rPr>
        <w:t>十四、合同生效及其它</w:t>
      </w:r>
    </w:p>
    <w:p w14:paraId="0A1B386B">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1.本合同经采购人、</w:t>
      </w:r>
      <w:r>
        <w:rPr>
          <w:rFonts w:hint="eastAsia" w:ascii="宋体" w:hAnsi="宋体" w:cs="宋体"/>
          <w:sz w:val="22"/>
          <w:szCs w:val="22"/>
        </w:rPr>
        <w:t>中标人</w:t>
      </w:r>
      <w:r>
        <w:rPr>
          <w:rFonts w:hint="eastAsia" w:ascii="宋体" w:hAnsi="宋体" w:cs="宋体"/>
          <w:kern w:val="0"/>
          <w:sz w:val="22"/>
          <w:szCs w:val="22"/>
        </w:rPr>
        <w:t>法定代表人或其委托人签字并加盖公章后生效。</w:t>
      </w:r>
    </w:p>
    <w:p w14:paraId="16D9268E">
      <w:pPr>
        <w:widowControl/>
        <w:tabs>
          <w:tab w:val="left" w:pos="0"/>
          <w:tab w:val="left" w:pos="437"/>
          <w:tab w:val="left" w:pos="1311"/>
        </w:tabs>
        <w:adjustRightInd w:val="0"/>
        <w:snapToGrid w:val="0"/>
        <w:spacing w:line="360" w:lineRule="auto"/>
        <w:ind w:firstLine="408" w:firstLineChars="200"/>
        <w:jc w:val="left"/>
        <w:rPr>
          <w:rFonts w:hint="eastAsia" w:ascii="宋体" w:hAnsi="宋体" w:cs="宋体"/>
          <w:kern w:val="0"/>
          <w:sz w:val="22"/>
          <w:szCs w:val="22"/>
        </w:rPr>
      </w:pPr>
      <w:r>
        <w:rPr>
          <w:rFonts w:hint="eastAsia" w:ascii="宋体" w:hAnsi="宋体" w:cs="宋体"/>
          <w:spacing w:val="-8"/>
          <w:kern w:val="0"/>
          <w:sz w:val="22"/>
          <w:szCs w:val="22"/>
        </w:rPr>
        <w:t>2.本合同一式</w:t>
      </w:r>
      <w:r>
        <w:rPr>
          <w:rFonts w:hint="eastAsia" w:ascii="宋体" w:hAnsi="宋体" w:cs="宋体"/>
          <w:spacing w:val="-8"/>
          <w:kern w:val="0"/>
          <w:sz w:val="22"/>
          <w:szCs w:val="22"/>
          <w:u w:val="single"/>
        </w:rPr>
        <w:t>陆</w:t>
      </w:r>
      <w:r>
        <w:rPr>
          <w:rFonts w:hint="eastAsia" w:ascii="宋体" w:hAnsi="宋体" w:cs="宋体"/>
          <w:spacing w:val="-8"/>
          <w:kern w:val="0"/>
          <w:sz w:val="22"/>
          <w:szCs w:val="22"/>
        </w:rPr>
        <w:t>份，采购人执</w:t>
      </w:r>
      <w:r>
        <w:rPr>
          <w:rFonts w:hint="eastAsia" w:ascii="宋体" w:hAnsi="宋体" w:cs="宋体"/>
          <w:spacing w:val="-8"/>
          <w:kern w:val="0"/>
          <w:sz w:val="22"/>
          <w:szCs w:val="22"/>
          <w:u w:val="single"/>
        </w:rPr>
        <w:t>贰</w:t>
      </w:r>
      <w:r>
        <w:rPr>
          <w:rFonts w:hint="eastAsia" w:ascii="宋体" w:hAnsi="宋体" w:cs="宋体"/>
          <w:spacing w:val="-8"/>
          <w:kern w:val="0"/>
          <w:sz w:val="22"/>
          <w:szCs w:val="22"/>
        </w:rPr>
        <w:t>份、中标人执</w:t>
      </w:r>
      <w:r>
        <w:rPr>
          <w:rFonts w:hint="eastAsia" w:ascii="宋体" w:hAnsi="宋体" w:cs="宋体"/>
          <w:spacing w:val="-8"/>
          <w:kern w:val="0"/>
          <w:sz w:val="22"/>
          <w:szCs w:val="22"/>
          <w:u w:val="single"/>
        </w:rPr>
        <w:t>贰</w:t>
      </w:r>
      <w:r>
        <w:rPr>
          <w:rFonts w:hint="eastAsia" w:ascii="宋体" w:hAnsi="宋体" w:cs="宋体"/>
          <w:spacing w:val="-8"/>
          <w:kern w:val="0"/>
          <w:sz w:val="22"/>
          <w:szCs w:val="22"/>
        </w:rPr>
        <w:t>份，其余相关部门各</w:t>
      </w:r>
      <w:r>
        <w:rPr>
          <w:rFonts w:hint="eastAsia" w:ascii="宋体" w:hAnsi="宋体" w:cs="宋体"/>
          <w:spacing w:val="-8"/>
          <w:kern w:val="0"/>
          <w:sz w:val="22"/>
          <w:szCs w:val="22"/>
          <w:u w:val="single"/>
        </w:rPr>
        <w:t>壹</w:t>
      </w:r>
      <w:r>
        <w:rPr>
          <w:rFonts w:hint="eastAsia" w:ascii="宋体" w:hAnsi="宋体" w:cs="宋体"/>
          <w:spacing w:val="-8"/>
          <w:kern w:val="0"/>
          <w:sz w:val="22"/>
          <w:szCs w:val="22"/>
        </w:rPr>
        <w:t>份。</w:t>
      </w:r>
    </w:p>
    <w:p w14:paraId="753D5E4C">
      <w:pPr>
        <w:pStyle w:val="3"/>
        <w:spacing w:line="360" w:lineRule="auto"/>
        <w:ind w:firstLine="440" w:firstLineChars="200"/>
        <w:rPr>
          <w:rFonts w:hint="eastAsia" w:ascii="宋体" w:hAnsi="宋体" w:cs="宋体"/>
          <w:color w:val="auto"/>
          <w:kern w:val="0"/>
          <w:sz w:val="22"/>
          <w:szCs w:val="22"/>
        </w:rPr>
      </w:pPr>
      <w:r>
        <w:rPr>
          <w:rFonts w:hint="eastAsia" w:ascii="宋体" w:hAnsi="宋体" w:cs="宋体"/>
          <w:color w:val="auto"/>
          <w:kern w:val="0"/>
          <w:sz w:val="22"/>
          <w:szCs w:val="22"/>
        </w:rPr>
        <w:t xml:space="preserve">采购人（章）：                               中标人（章）：         </w:t>
      </w:r>
    </w:p>
    <w:p w14:paraId="71EB690B">
      <w:pPr>
        <w:pStyle w:val="3"/>
        <w:spacing w:line="360" w:lineRule="auto"/>
        <w:ind w:firstLine="440" w:firstLineChars="200"/>
        <w:rPr>
          <w:rFonts w:hint="eastAsia" w:ascii="宋体" w:hAnsi="宋体" w:cs="宋体"/>
          <w:color w:val="auto"/>
          <w:kern w:val="0"/>
          <w:sz w:val="22"/>
          <w:szCs w:val="22"/>
        </w:rPr>
      </w:pPr>
      <w:r>
        <w:rPr>
          <w:rFonts w:hint="eastAsia" w:ascii="宋体" w:hAnsi="宋体" w:cs="宋体"/>
          <w:color w:val="auto"/>
          <w:kern w:val="0"/>
          <w:sz w:val="22"/>
          <w:szCs w:val="22"/>
        </w:rPr>
        <w:t>法定代表人                                   法定代表人</w:t>
      </w:r>
    </w:p>
    <w:p w14:paraId="7E9150D8">
      <w:pPr>
        <w:pStyle w:val="3"/>
        <w:spacing w:line="360" w:lineRule="auto"/>
        <w:ind w:firstLine="440" w:firstLineChars="200"/>
        <w:rPr>
          <w:rFonts w:hint="eastAsia" w:ascii="宋体" w:hAnsi="宋体" w:cs="宋体"/>
          <w:color w:val="auto"/>
          <w:kern w:val="0"/>
          <w:sz w:val="22"/>
          <w:szCs w:val="22"/>
        </w:rPr>
      </w:pPr>
      <w:r>
        <w:rPr>
          <w:rFonts w:hint="eastAsia" w:ascii="宋体" w:hAnsi="宋体" w:cs="宋体"/>
          <w:color w:val="auto"/>
          <w:kern w:val="0"/>
          <w:sz w:val="22"/>
          <w:szCs w:val="22"/>
        </w:rPr>
        <w:t xml:space="preserve">或委托代理人（签字或盖章）：                 或委托代理人（签字或盖章）：  </w:t>
      </w:r>
    </w:p>
    <w:p w14:paraId="60B00A68">
      <w:pPr>
        <w:pStyle w:val="3"/>
        <w:spacing w:line="360" w:lineRule="auto"/>
        <w:ind w:firstLine="1100" w:firstLineChars="500"/>
        <w:rPr>
          <w:rFonts w:hint="eastAsia" w:ascii="宋体" w:hAnsi="宋体" w:cs="宋体"/>
          <w:color w:val="auto"/>
          <w:kern w:val="0"/>
          <w:sz w:val="22"/>
          <w:szCs w:val="22"/>
        </w:rPr>
      </w:pPr>
      <w:r>
        <w:rPr>
          <w:rFonts w:hint="eastAsia" w:ascii="宋体" w:hAnsi="宋体" w:cs="宋体"/>
          <w:color w:val="auto"/>
          <w:kern w:val="0"/>
          <w:sz w:val="22"/>
          <w:szCs w:val="22"/>
        </w:rPr>
        <w:t>年   月   日                                年   月   日</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DAD110">
    <w:pPr>
      <w:pStyle w:val="4"/>
      <w:jc w:val="center"/>
      <w:rPr>
        <w:rFonts w:hint="eastAsia"/>
      </w:rPr>
    </w:pPr>
    <w:r>
      <w:fldChar w:fldCharType="begin"/>
    </w:r>
    <w:r>
      <w:instrText xml:space="preserve">PAGE   \* MERGEFORMAT</w:instrText>
    </w:r>
    <w:r>
      <w:fldChar w:fldCharType="separate"/>
    </w:r>
    <w:r>
      <w:rPr>
        <w:lang w:val="zh-CN"/>
      </w:rPr>
      <w:t>2</w:t>
    </w:r>
    <w:r>
      <w:fldChar w:fldCharType="end"/>
    </w:r>
  </w:p>
  <w:p w14:paraId="15710853">
    <w:pPr>
      <w:pStyle w:val="4"/>
      <w:ind w:left="4140" w:hanging="4140" w:hangingChars="23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8B7AC">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2D1AD8"/>
    <w:multiLevelType w:val="multilevel"/>
    <w:tmpl w:val="322D1AD8"/>
    <w:lvl w:ilvl="0" w:tentative="0">
      <w:start w:val="1"/>
      <w:numFmt w:val="decimal"/>
      <w:lvlText w:val="%1."/>
      <w:lvlJc w:val="left"/>
      <w:pPr>
        <w:tabs>
          <w:tab w:val="left" w:pos="567"/>
        </w:tabs>
        <w:ind w:left="567" w:hanging="567"/>
      </w:pPr>
      <w:rPr>
        <w:rFonts w:hint="eastAsia"/>
        <w:u w:val="none"/>
      </w:rPr>
    </w:lvl>
    <w:lvl w:ilvl="1" w:tentative="0">
      <w:start w:val="1"/>
      <w:numFmt w:val="decimal"/>
      <w:pStyle w:val="10"/>
      <w:isLgl/>
      <w:suff w:val="space"/>
      <w:lvlText w:val="%1.%2"/>
      <w:lvlJc w:val="left"/>
      <w:pPr>
        <w:ind w:left="1417" w:hanging="567"/>
      </w:pPr>
      <w:rPr>
        <w:rFonts w:hint="default"/>
      </w:rPr>
    </w:lvl>
    <w:lvl w:ilvl="2" w:tentative="0">
      <w:start w:val="1"/>
      <w:numFmt w:val="decimal"/>
      <w:isLgl/>
      <w:lvlText w:val="%1.%2.%3"/>
      <w:lvlJc w:val="left"/>
      <w:pPr>
        <w:tabs>
          <w:tab w:val="left" w:pos="420"/>
        </w:tabs>
        <w:ind w:left="420" w:hanging="420"/>
      </w:pPr>
      <w:rPr>
        <w:rFonts w:hint="default"/>
      </w:rPr>
    </w:lvl>
    <w:lvl w:ilvl="3" w:tentative="0">
      <w:start w:val="1"/>
      <w:numFmt w:val="decimal"/>
      <w:isLgl/>
      <w:lvlText w:val="%1.%2.%3.%4"/>
      <w:lvlJc w:val="left"/>
      <w:pPr>
        <w:tabs>
          <w:tab w:val="left" w:pos="420"/>
        </w:tabs>
        <w:ind w:left="420" w:hanging="420"/>
      </w:pPr>
      <w:rPr>
        <w:rFonts w:hint="default"/>
      </w:rPr>
    </w:lvl>
    <w:lvl w:ilvl="4" w:tentative="0">
      <w:start w:val="1"/>
      <w:numFmt w:val="decimal"/>
      <w:isLgl/>
      <w:lvlText w:val="%1.%2.%3.%4.%5"/>
      <w:lvlJc w:val="left"/>
      <w:pPr>
        <w:tabs>
          <w:tab w:val="left" w:pos="420"/>
        </w:tabs>
        <w:ind w:left="420" w:hanging="420"/>
      </w:pPr>
      <w:rPr>
        <w:rFonts w:hint="default"/>
      </w:rPr>
    </w:lvl>
    <w:lvl w:ilvl="5" w:tentative="0">
      <w:start w:val="1"/>
      <w:numFmt w:val="decimal"/>
      <w:isLgl/>
      <w:lvlText w:val="%1.%2.%3.%4.%5.%6"/>
      <w:lvlJc w:val="left"/>
      <w:pPr>
        <w:tabs>
          <w:tab w:val="left" w:pos="420"/>
        </w:tabs>
        <w:ind w:left="420" w:hanging="420"/>
      </w:pPr>
      <w:rPr>
        <w:rFonts w:hint="default"/>
      </w:rPr>
    </w:lvl>
    <w:lvl w:ilvl="6" w:tentative="0">
      <w:start w:val="1"/>
      <w:numFmt w:val="decimal"/>
      <w:isLgl/>
      <w:lvlText w:val="%1.%2.%3.%4.%5.%6.%7"/>
      <w:lvlJc w:val="left"/>
      <w:pPr>
        <w:tabs>
          <w:tab w:val="left" w:pos="420"/>
        </w:tabs>
        <w:ind w:left="420" w:hanging="420"/>
      </w:pPr>
      <w:rPr>
        <w:rFonts w:hint="default"/>
      </w:rPr>
    </w:lvl>
    <w:lvl w:ilvl="7" w:tentative="0">
      <w:start w:val="1"/>
      <w:numFmt w:val="decimal"/>
      <w:isLgl/>
      <w:lvlText w:val="%1.%2.%3.%4.%5.%6.%7.%8"/>
      <w:lvlJc w:val="left"/>
      <w:pPr>
        <w:tabs>
          <w:tab w:val="left" w:pos="420"/>
        </w:tabs>
        <w:ind w:left="420" w:hanging="420"/>
      </w:pPr>
      <w:rPr>
        <w:rFonts w:hint="default"/>
      </w:rPr>
    </w:lvl>
    <w:lvl w:ilvl="8" w:tentative="0">
      <w:start w:val="1"/>
      <w:numFmt w:val="decimal"/>
      <w:isLgl/>
      <w:lvlText w:val="%1.%2.%3.%4.%5.%6.%7.%8.%9"/>
      <w:lvlJc w:val="left"/>
      <w:pPr>
        <w:tabs>
          <w:tab w:val="left" w:pos="420"/>
        </w:tabs>
        <w:ind w:left="420" w:hanging="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1B17B6"/>
    <w:rsid w:val="0CFF716D"/>
    <w:rsid w:val="0D240982"/>
    <w:rsid w:val="20BD6CCC"/>
    <w:rsid w:val="2CB5119F"/>
    <w:rsid w:val="2D4F1CE5"/>
    <w:rsid w:val="33941B0E"/>
    <w:rsid w:val="36BD755D"/>
    <w:rsid w:val="41523008"/>
    <w:rsid w:val="4B223A4B"/>
    <w:rsid w:val="4DBD7A5B"/>
    <w:rsid w:val="57947A7F"/>
    <w:rsid w:val="5E6301AB"/>
    <w:rsid w:val="5FA10F8B"/>
    <w:rsid w:val="60510197"/>
    <w:rsid w:val="6FBB5FED"/>
    <w:rsid w:val="73B057E9"/>
    <w:rsid w:val="76DD5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99"/>
    <w:rPr>
      <w:color w:val="993300"/>
      <w:sz w:val="24"/>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Title"/>
    <w:basedOn w:val="1"/>
    <w:next w:val="1"/>
    <w:qFormat/>
    <w:uiPriority w:val="0"/>
    <w:pPr>
      <w:spacing w:before="240" w:after="60"/>
      <w:jc w:val="center"/>
      <w:outlineLvl w:val="0"/>
    </w:pPr>
    <w:rPr>
      <w:rFonts w:ascii="Cambria" w:hAnsi="Cambria"/>
      <w:b/>
      <w:bCs/>
      <w:sz w:val="32"/>
      <w:szCs w:val="32"/>
    </w:rPr>
  </w:style>
  <w:style w:type="paragraph" w:customStyle="1" w:styleId="10">
    <w:name w:val="合同条款2"/>
    <w:basedOn w:val="1"/>
    <w:qFormat/>
    <w:uiPriority w:val="0"/>
    <w:pPr>
      <w:numPr>
        <w:ilvl w:val="1"/>
        <w:numId w:val="1"/>
      </w:numPr>
      <w:tabs>
        <w:tab w:val="left" w:pos="1417"/>
      </w:tabs>
    </w:pPr>
    <w:rPr>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2944</Words>
  <Characters>3074</Characters>
  <Lines>0</Lines>
  <Paragraphs>0</Paragraphs>
  <TotalTime>4</TotalTime>
  <ScaleCrop>false</ScaleCrop>
  <LinksUpToDate>false</LinksUpToDate>
  <CharactersWithSpaces>3351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2025-09-17T06:11:00Z</dcterms:created>
  <dc:creator>msi</dc:creator>
  <cp:lastModifiedBy>WPS_1730446345</cp:lastModifiedBy>
  <dcterms:modified xsi:type="dcterms:W3CDTF">2025-12-15T11:37:11Z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eyJoZGlkIjoiYTk5ODUyYTgyNTY4OGUzMmEyYmJiMDE0NmU0YjliZGYiLCJ1c2VySWQiOiIxNjUwNzU2NTAyIn0=</vt:lpwstr>
  </property>
  <property fmtid="{D5CDD505-2E9C-101B-9397-08002B2CF9AE}" pid="4" name="ICV">
    <vt:lpwstr>9AD355030D524B068A63A740E1827E34_12</vt:lpwstr>
  </property>
</Properties>
</file>