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版本号：ZCSP-临渭区-2025-0032820251215001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临渭区2025年度省级林业草原改革发展资金森林植被恢复项目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ZCSP-临渭区-2025-00328</w:t>
      </w:r>
      <w:r>
        <w:br/>
      </w:r>
      <w:r>
        <w:br/>
      </w:r>
      <w:r>
        <w:br/>
      </w:r>
    </w:p>
    <w:p>
      <w:pPr>
        <w:pStyle w:val="null3"/>
        <w:jc w:val="center"/>
        <w:outlineLvl w:val="2"/>
      </w:pPr>
      <w:r>
        <w:rPr>
          <w:rFonts w:ascii="仿宋_GB2312" w:hAnsi="仿宋_GB2312" w:cs="仿宋_GB2312" w:eastAsia="仿宋_GB2312"/>
          <w:sz w:val="28"/>
          <w:b/>
        </w:rPr>
        <w:t>渭南市临渭区林业局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渭南市临渭区林业局</w:t>
      </w:r>
      <w:r>
        <w:rPr>
          <w:rFonts w:ascii="仿宋_GB2312" w:hAnsi="仿宋_GB2312" w:cs="仿宋_GB2312" w:eastAsia="仿宋_GB2312"/>
        </w:rPr>
        <w:t>委托，拟对</w:t>
      </w:r>
      <w:r>
        <w:rPr>
          <w:rFonts w:ascii="仿宋_GB2312" w:hAnsi="仿宋_GB2312" w:cs="仿宋_GB2312" w:eastAsia="仿宋_GB2312"/>
        </w:rPr>
        <w:t>临渭区2025年度省级林业草原改革发展资金森林植被恢复项目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ZCSP-临渭区-2025-00328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临渭区2025年度省级林业草原改革发展资金森林植被恢复项目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本项目通过实施森林植被恢复500亩，提高林地生产力，增加林木蓄积量和森林植被覆盖率，提高森林质量，改善项目区生态环境，提高生物多样性。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采购包1（临渭区2025年度省级林业草原改革发展资金森林植被恢复项目）：属于专门面向中小企业采购。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1、项目负责人：项目负责人需具备林业类或园林类专业中级及以上职称或市政公用工程专业二级建造师及安全生产考核B证，且无在建项目；</w:t>
      </w:r>
    </w:p>
    <w:p>
      <w:pPr>
        <w:pStyle w:val="null3"/>
      </w:pPr>
      <w:r>
        <w:rPr>
          <w:rFonts w:ascii="仿宋_GB2312" w:hAnsi="仿宋_GB2312" w:cs="仿宋_GB2312" w:eastAsia="仿宋_GB2312"/>
        </w:rPr>
        <w:t>2、法定代表人身份证明书/法定代表人授权委托书：法定代表人参与磋商时需提供法定代表人身份证明书；被授权人参与磋商时需提供法定代表人身份证明书及法定代表人授权委托书；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3、磋商保证金交纳凭证：磋商保证金交纳凭证；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渭南市临渭区东风大街83号院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李卓朗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0913-3039585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任玮强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渭南市临渭区林业局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联系人：任玮强</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本项目通过实施森林植被恢复500亩，提高林地生产力，增加林木蓄积量和森林植被覆盖率，提高森林质量，改善项目区生态环境，提高生物多样性。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临渭区2025年度省级林业草原改革发展资金森林植被恢复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标的名称：临渭区2025年度省级林业草原改革发展资金森林植被恢复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1、作业规模</w:t>
            </w:r>
          </w:p>
          <w:p>
            <w:pPr>
              <w:pStyle w:val="null3"/>
            </w:pPr>
            <w:r>
              <w:rPr>
                <w:rFonts w:ascii="仿宋_GB2312" w:hAnsi="仿宋_GB2312" w:cs="仿宋_GB2312" w:eastAsia="仿宋_GB2312"/>
              </w:rPr>
              <w:t>临渭区2025年度省级林业草原改革发展资金森林植被恢复项目作业面积500亩，涉及丰原镇（阿杆村69亩、吴田村74亩）、阎村镇（西王村79亩）和三张镇（油王村278亩）。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3"/>
              <w:jc w:val="both"/>
            </w:pPr>
            <w:r>
              <w:rPr>
                <w:rFonts w:ascii="仿宋_GB2312" w:hAnsi="仿宋_GB2312" w:cs="仿宋_GB2312" w:eastAsia="仿宋_GB2312"/>
              </w:rPr>
              <w:t>2、森林植被恢复措施</w:t>
            </w:r>
          </w:p>
          <w:p>
            <w:pPr>
              <w:pStyle w:val="null3"/>
            </w:pPr>
            <w:r>
              <w:rPr>
                <w:rFonts w:ascii="仿宋_GB2312" w:hAnsi="仿宋_GB2312" w:cs="仿宋_GB2312" w:eastAsia="仿宋_GB2312"/>
              </w:rPr>
              <w:t>采取人工造林措施进行森林植被恢复。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3"/>
              <w:jc w:val="both"/>
            </w:pPr>
            <w:r>
              <w:rPr>
                <w:rFonts w:ascii="仿宋_GB2312" w:hAnsi="仿宋_GB2312" w:cs="仿宋_GB2312" w:eastAsia="仿宋_GB2312"/>
              </w:rPr>
              <w:t>3、造林树种</w:t>
            </w:r>
          </w:p>
          <w:p>
            <w:pPr>
              <w:pStyle w:val="null3"/>
            </w:pPr>
            <w:r>
              <w:rPr>
                <w:rFonts w:ascii="仿宋_GB2312" w:hAnsi="仿宋_GB2312" w:cs="仿宋_GB2312" w:eastAsia="仿宋_GB2312"/>
              </w:rPr>
              <w:t>造林树种为油松和侧柏。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643"/>
              <w:jc w:val="both"/>
            </w:pPr>
            <w:r>
              <w:rPr>
                <w:rFonts w:ascii="仿宋_GB2312" w:hAnsi="仿宋_GB2312" w:cs="仿宋_GB2312" w:eastAsia="仿宋_GB2312"/>
              </w:rPr>
              <w:t>4、造林模式</w:t>
            </w:r>
          </w:p>
          <w:p>
            <w:pPr>
              <w:pStyle w:val="null3"/>
            </w:pPr>
            <w:r>
              <w:rPr>
                <w:rFonts w:ascii="仿宋_GB2312" w:hAnsi="仿宋_GB2312" w:cs="仿宋_GB2312" w:eastAsia="仿宋_GB2312"/>
              </w:rPr>
              <w:t>（1）造林模式I：油松+现有植被混交林</w:t>
            </w:r>
          </w:p>
          <w:p>
            <w:pPr>
              <w:pStyle w:val="null3"/>
            </w:pPr>
            <w:r>
              <w:rPr>
                <w:rFonts w:ascii="仿宋_GB2312" w:hAnsi="仿宋_GB2312" w:cs="仿宋_GB2312" w:eastAsia="仿宋_GB2312"/>
              </w:rPr>
              <w:t>适宜立地类型：立地类型Ⅰ低山阴坡斜陡坡型。</w:t>
            </w:r>
          </w:p>
          <w:p>
            <w:pPr>
              <w:pStyle w:val="null3"/>
            </w:pPr>
            <w:r>
              <w:rPr>
                <w:rFonts w:ascii="仿宋_GB2312" w:hAnsi="仿宋_GB2312" w:cs="仿宋_GB2312" w:eastAsia="仿宋_GB2312"/>
              </w:rPr>
              <w:t>整地方式及规格：采用鱼鳞坑整地，规格为60×60×40cm。</w:t>
            </w:r>
          </w:p>
          <w:p>
            <w:pPr>
              <w:pStyle w:val="null3"/>
            </w:pPr>
            <w:r>
              <w:rPr>
                <w:rFonts w:ascii="仿宋_GB2312" w:hAnsi="仿宋_GB2312" w:cs="仿宋_GB2312" w:eastAsia="仿宋_GB2312"/>
              </w:rPr>
              <w:t>混交方式：与现有植被块状混交。</w:t>
            </w:r>
          </w:p>
          <w:p>
            <w:pPr>
              <w:pStyle w:val="null3"/>
            </w:pPr>
            <w:r>
              <w:rPr>
                <w:rFonts w:ascii="仿宋_GB2312" w:hAnsi="仿宋_GB2312" w:cs="仿宋_GB2312" w:eastAsia="仿宋_GB2312"/>
              </w:rPr>
              <w:t>种植点配置：三角形。</w:t>
            </w:r>
          </w:p>
          <w:p>
            <w:pPr>
              <w:pStyle w:val="null3"/>
            </w:pPr>
            <w:r>
              <w:rPr>
                <w:rFonts w:ascii="仿宋_GB2312" w:hAnsi="仿宋_GB2312" w:cs="仿宋_GB2312" w:eastAsia="仿宋_GB2312"/>
              </w:rPr>
              <w:t>栽植密度：株行距3×3m，初植密度56株/亩。</w:t>
            </w:r>
          </w:p>
          <w:p>
            <w:pPr>
              <w:pStyle w:val="null3"/>
            </w:pPr>
            <w:r>
              <w:rPr>
                <w:rFonts w:ascii="仿宋_GB2312" w:hAnsi="仿宋_GB2312" w:cs="仿宋_GB2312" w:eastAsia="仿宋_GB2312"/>
              </w:rPr>
              <w:t>（2）造林模式Ⅱ：侧柏+现有植被混交林</w:t>
            </w:r>
          </w:p>
          <w:p>
            <w:pPr>
              <w:pStyle w:val="null3"/>
            </w:pPr>
            <w:r>
              <w:rPr>
                <w:rFonts w:ascii="仿宋_GB2312" w:hAnsi="仿宋_GB2312" w:cs="仿宋_GB2312" w:eastAsia="仿宋_GB2312"/>
              </w:rPr>
              <w:t>适宜立地类型：立地类型Ⅱ低山阳坡斜陡坡型。</w:t>
            </w:r>
          </w:p>
          <w:p>
            <w:pPr>
              <w:pStyle w:val="null3"/>
            </w:pPr>
            <w:r>
              <w:rPr>
                <w:rFonts w:ascii="仿宋_GB2312" w:hAnsi="仿宋_GB2312" w:cs="仿宋_GB2312" w:eastAsia="仿宋_GB2312"/>
              </w:rPr>
              <w:t>整地方式及规格：采用鱼鳞坑整地，规格为60×60×40cm。</w:t>
            </w:r>
          </w:p>
          <w:p>
            <w:pPr>
              <w:pStyle w:val="null3"/>
            </w:pPr>
            <w:r>
              <w:rPr>
                <w:rFonts w:ascii="仿宋_GB2312" w:hAnsi="仿宋_GB2312" w:cs="仿宋_GB2312" w:eastAsia="仿宋_GB2312"/>
              </w:rPr>
              <w:t>混交方式：与现有植被块状混交。</w:t>
            </w:r>
          </w:p>
          <w:p>
            <w:pPr>
              <w:pStyle w:val="null3"/>
            </w:pPr>
            <w:r>
              <w:rPr>
                <w:rFonts w:ascii="仿宋_GB2312" w:hAnsi="仿宋_GB2312" w:cs="仿宋_GB2312" w:eastAsia="仿宋_GB2312"/>
              </w:rPr>
              <w:t>种植点配置：三角形。</w:t>
            </w:r>
          </w:p>
          <w:p>
            <w:pPr>
              <w:pStyle w:val="null3"/>
            </w:pPr>
            <w:r>
              <w:rPr>
                <w:rFonts w:ascii="仿宋_GB2312" w:hAnsi="仿宋_GB2312" w:cs="仿宋_GB2312" w:eastAsia="仿宋_GB2312"/>
              </w:rPr>
              <w:t>栽植密度：株行距3×3m，初植密度56株/亩。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643"/>
              <w:jc w:val="both"/>
            </w:pPr>
            <w:r>
              <w:rPr>
                <w:rFonts w:ascii="仿宋_GB2312" w:hAnsi="仿宋_GB2312" w:cs="仿宋_GB2312" w:eastAsia="仿宋_GB2312"/>
              </w:rPr>
              <w:t>5、苗木标准</w:t>
            </w:r>
          </w:p>
          <w:p>
            <w:pPr>
              <w:pStyle w:val="null3"/>
            </w:pPr>
            <w:r>
              <w:rPr>
                <w:rFonts w:ascii="仿宋_GB2312" w:hAnsi="仿宋_GB2312" w:cs="仿宋_GB2312" w:eastAsia="仿宋_GB2312"/>
              </w:rPr>
              <w:t>造林所用苗木为具有“两证一签”（苗木检验证、苗木检疫证、苗木标签）的Ⅰ级苗木。本项目所需苗木尽量从本区苗圃或者相邻近的县区苗圃采购，确保林木良种使用率≥75%。</w:t>
            </w:r>
          </w:p>
          <w:p>
            <w:pPr>
              <w:pStyle w:val="null3"/>
            </w:pPr>
            <w:r>
              <w:rPr>
                <w:rFonts w:ascii="仿宋_GB2312" w:hAnsi="仿宋_GB2312" w:cs="仿宋_GB2312" w:eastAsia="仿宋_GB2312"/>
              </w:rPr>
              <w:t>具体苗木标准如下：</w:t>
            </w:r>
          </w:p>
          <w:p>
            <w:pPr>
              <w:pStyle w:val="null3"/>
            </w:pPr>
            <w:r>
              <w:rPr>
                <w:rFonts w:ascii="仿宋_GB2312" w:hAnsi="仿宋_GB2312" w:cs="仿宋_GB2312" w:eastAsia="仿宋_GB2312"/>
              </w:rPr>
              <w:t>油松为苗高≥80cm、地径≥0.7cm，带营养钵（型号25*25cm）的I级三年生苗;</w:t>
            </w:r>
          </w:p>
          <w:p>
            <w:pPr>
              <w:pStyle w:val="null3"/>
            </w:pPr>
            <w:r>
              <w:rPr>
                <w:rFonts w:ascii="仿宋_GB2312" w:hAnsi="仿宋_GB2312" w:cs="仿宋_GB2312" w:eastAsia="仿宋_GB2312"/>
              </w:rPr>
              <w:t>侧柏为苗高≥90cm、地径≥0.8cm，带营养钵（型号25*25cm）的I级三年生苗。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643"/>
              <w:jc w:val="both"/>
            </w:pPr>
            <w:r>
              <w:rPr>
                <w:rFonts w:ascii="仿宋_GB2312" w:hAnsi="仿宋_GB2312" w:cs="仿宋_GB2312" w:eastAsia="仿宋_GB2312"/>
              </w:rPr>
              <w:t>6、成活率及验收合格率</w:t>
            </w:r>
          </w:p>
          <w:p>
            <w:pPr>
              <w:pStyle w:val="null3"/>
            </w:pPr>
            <w:r>
              <w:rPr>
                <w:rFonts w:ascii="仿宋_GB2312" w:hAnsi="仿宋_GB2312" w:cs="仿宋_GB2312" w:eastAsia="仿宋_GB2312"/>
              </w:rPr>
              <w:t>造林成活率≥85%，项目验收合格率≥95%。</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643"/>
              <w:jc w:val="both"/>
            </w:pPr>
            <w:r>
              <w:rPr>
                <w:rFonts w:ascii="仿宋_GB2312" w:hAnsi="仿宋_GB2312" w:cs="仿宋_GB2312" w:eastAsia="仿宋_GB2312"/>
              </w:rPr>
              <w:t>7、保存率</w:t>
            </w:r>
          </w:p>
          <w:p>
            <w:pPr>
              <w:pStyle w:val="null3"/>
            </w:pPr>
            <w:r>
              <w:rPr>
                <w:rFonts w:ascii="仿宋_GB2312" w:hAnsi="仿宋_GB2312" w:cs="仿宋_GB2312" w:eastAsia="仿宋_GB2312"/>
              </w:rPr>
              <w:t>造林3年后，小班郁闭度≥0.20或株数保存率≥80%。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注：本项目的作业内容及作业方式和要求以项目作业设计为准。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详见3.2.5其他要求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详见3.2.5其他要求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1、供应商需派驻一名项目负责人、一名技术负责人对作业进度、服务质量、作业人员管理进行总协调，确保技术措施的落实，按时参加采购人组织的相关会议和活动，服从采购人的工作制度和工作规范。 2、供应商向采购人提供项目作业计划和安全责任协议等，其内容包括管理机构的设置、各主要岗位的技术和管理员名单、联系方式及各工种技术工人的安排、项目实施进度安排、技术措施等状况。 3、严格按照项目作业设计要求进行作业，作业前按项目要求筹备各项器械、材料、工具等，按技术规定进行作业。 4、协助采购人及时组织召开检查验收、效果评价和竣工验收工作会议。 5、供应商应按相关要求向采购人提交作业过程性资料和工作总结报告。 6、有各类突发事件的应急预案和措施，有明确具体的承诺。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临渭区丰原镇（阿杆村、吴田村）、阎村镇（西王村）和三张镇（油王村）。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2、验收标准：按磋商文件、磋商响应文件及澄清函、项目检查情况等综合指标进行验收。各项指标均应符合验收标准及要求。3、需执行的国家相关标准、行业标准、地方标准或者其他标准、规范标准：《造林技术规程》(GB/T 15776-2023)；《陕西省造林技术规程》(DB61/T 142-2021)；《裸露坡面植被恢复技术规范》(GB/T 38360-2019)；《生态公益林建设导则》(GB/T 18337.1-2001)；《生态公益林建设技术规程》(GB/T 18337.3-2001)；《森林资源规划设计调查技术规程》(GB/T 26424-2010)；《主要造林树种苗木质量分级》(DB61/T 378-2006)；《主要造林树种苗木质量分级》(GB 6000-1999)；其它行业、地方现行执行规范、规程、标准。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采购人根据项目进度支付项目进度款，项目建设任务完工验收后，支付至合同金额的90%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养护期满后，依据竣工结算审计付完剩余尾款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采购人因未及时向供应商提供项目启动所需资料造成服务期延误，每延误1日则本合同服务期期限延长1日，以此类推；因资料真实性给供应商造成损失和产生相关连带责任时，采购人除按供应商要求进行赔偿外还需承担因连带责任产生的所有责任。（2）因供应商原因造成服务期延误（自然灾害等不可抗力除外），采购人有权从未付款项中按每日3‰合同价款扣除违约金，此违约以30日为限；若采购人未按约定时间付款，则供应商有权按每日3‰合同价款收取违约金。 2、解决争议的方法：双方在执行合同中所发生的一切争议，应通过协商解决。如协商不成，可向项目所在地法院起诉。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2、关于印发中小企业划型标准规定的通知（工信部联企业〔2011〕300号），中小企业划型标准规定：（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营业执照等证明材料</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项目负责人需具备林业类或园林类专业中级及以上职称或市政公用工程专业二级建造师及安全生产考核B证，且无在建项目；</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分项报价表 中小企业声明函 商务应答表 报价表 特定资格要求 响应文件封面 政府采购供应商拒绝政府采购领域商业贿赂承诺书 残疾人福利性单位声明函 政府采购二十二条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分项报价表 中小企业声明函 商务应答表 报价表 特定资格要求 响应文件封面 政府采购供应商拒绝政府采购领域商业贿赂承诺书 残疾人福利性单位声明函 政府采购二十二条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（1）项目需求理解； （2）项目整体管理方案； （3）进度计划及保障措施。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（1）造林地清理及整地方案； （2）施肥、栽植、浇水及铺设育林板方案； （3）未成林抚育方案； （4）幼林管护方案； （5）服务团队管理方案； （6）服务团队职责划分。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（1）质量保障措施； （2）成活率调查与补植方案。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资料管理方案</w:t>
            </w:r>
          </w:p>
        </w:tc>
        <w:tc>
          <w:tcPr>
            <w:tcW w:type="dxa" w:w="2492"/>
          </w:tcPr>
          <w:p>
            <w:pPr>
              <w:pStyle w:val="null3"/>
            </w:pPr>
            <w:r>
              <w:rPr>
                <w:rFonts w:ascii="仿宋_GB2312" w:hAnsi="仿宋_GB2312" w:cs="仿宋_GB2312" w:eastAsia="仿宋_GB2312"/>
              </w:rPr>
              <w:t>（一）评审内容： （1）资料管理方案； （2）工作流程安排及实施细则。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生物多样性及环境保护方案</w:t>
            </w:r>
          </w:p>
        </w:tc>
        <w:tc>
          <w:tcPr>
            <w:tcW w:type="dxa" w:w="2492"/>
          </w:tcPr>
          <w:p>
            <w:pPr>
              <w:pStyle w:val="null3"/>
            </w:pPr>
            <w:r>
              <w:rPr>
                <w:rFonts w:ascii="仿宋_GB2312" w:hAnsi="仿宋_GB2312" w:cs="仿宋_GB2312" w:eastAsia="仿宋_GB2312"/>
              </w:rPr>
              <w:t>（一）评审内容： （1）生物多样性保护方案（即野生动植物保护）； （2）环境保护方案。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（1）安全管理方案； （2）森林防火预防方案。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（1）紧急或突发情况的应急保障方案； （2）应急人员及设施设备安排计划。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后续服务方案。 （二）评审标准： （1）评审内容完整无缺陷得3分；未提供得0分； （2）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供应商近三年（2022年12月至今）具有类似项目业绩，每个计1分，最多计5分。(业绩时间以合同签订日期为准，供应商须提供合同扫描件)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（1）配备的技术负责人具有园林类或林业类中级及以上职称或市政公用工程专业二级建造师及安全生产考核B证得2分。 （2）服务团队每配备一名其他服务人员（例如：资料、安全、财务等）得1分，最多得3分。 注：须提供相关证明材料，未提供得0分。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每配备一项本次服务所需相关设施设备（例如：整地、栽植、浇水、抚育、运输、防火、灭火等）得1分，最多得7分。 注：须提供相关证明材料，未提供得0分。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详见附件：8.合同文本.docx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