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版本号：ZCSP-临渭区-2025-0032720251215001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临渭区2025年度省级林业草原改革发展资金重点区域绿化补助项目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ZCSP-临渭区-2025-00327</w:t>
      </w:r>
      <w:r>
        <w:br/>
      </w:r>
      <w:r>
        <w:br/>
      </w:r>
      <w:r>
        <w:br/>
      </w:r>
    </w:p>
    <w:p>
      <w:pPr>
        <w:pStyle w:val="null3"/>
        <w:jc w:val="center"/>
        <w:outlineLvl w:val="2"/>
      </w:pPr>
      <w:r>
        <w:rPr>
          <w:rFonts w:ascii="仿宋_GB2312" w:hAnsi="仿宋_GB2312" w:cs="仿宋_GB2312" w:eastAsia="仿宋_GB2312"/>
          <w:sz w:val="28"/>
          <w:b/>
        </w:rPr>
        <w:t>渭南市临渭区林业局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渭南市临渭区林业局</w:t>
      </w:r>
      <w:r>
        <w:rPr>
          <w:rFonts w:ascii="仿宋_GB2312" w:hAnsi="仿宋_GB2312" w:cs="仿宋_GB2312" w:eastAsia="仿宋_GB2312"/>
        </w:rPr>
        <w:t>委托，拟对</w:t>
      </w:r>
      <w:r>
        <w:rPr>
          <w:rFonts w:ascii="仿宋_GB2312" w:hAnsi="仿宋_GB2312" w:cs="仿宋_GB2312" w:eastAsia="仿宋_GB2312"/>
        </w:rPr>
        <w:t>临渭区2025年度省级林业草原改革发展资金重点区域绿化补助项目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ZCSP-临渭区-2025-00327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临渭区2025年度省级林业草原改革发展资金重点区域绿化补助项目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临渭区2025年度省级林业草原改革发展资金重点区域绿化补助项目通过实施区域绿化634亩、涝池绿化2处(折合绿化面积36亩)、排碱沟两旁绿化1处(折合绿化面积8亩)，提高林地生产力，增加林木蓄积量和森林植被覆盖率，提高森林质量，改善项目区生态环境，建设生态宜居美丽乡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采购包1（临渭区2025年度省级林业草原改革发展资金重点区域绿化补助项目）：属于专门面向中小企业采购。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1、项目负责人：项目负责人需具备林业类或园林类专业中级及以上职称或市政公用工程专业二级建造师及安全生产考核B证，且无在建项目；</w:t>
      </w:r>
    </w:p>
    <w:p>
      <w:pPr>
        <w:pStyle w:val="null3"/>
      </w:pPr>
      <w:r>
        <w:rPr>
          <w:rFonts w:ascii="仿宋_GB2312" w:hAnsi="仿宋_GB2312" w:cs="仿宋_GB2312" w:eastAsia="仿宋_GB2312"/>
        </w:rPr>
        <w:t>2、法定代表人身份证明书/法定代表人授权委托书：法定代表人参与磋商时需提供法定代表人身份证明书；被授权人参与磋商时需提供法定代表人身份证明书及法定代表人授权委托书；</w:t>
      </w:r>
    </w:p>
    <w:p>
      <w:pPr>
        <w:pStyle w:val="null3"/>
      </w:pPr>
      <w:r>
        <w:rPr>
          <w:rFonts w:ascii="仿宋_GB2312" w:hAnsi="仿宋_GB2312" w:cs="仿宋_GB2312" w:eastAsia="仿宋_GB2312"/>
        </w:rPr>
        <w:t>3、磋商保证金交纳凭证：磋商保证金交纳凭证；</w:t>
      </w:r>
    </w:p>
    <w:p>
      <w:pPr>
        <w:pStyle w:val="null3"/>
      </w:pPr>
      <w:r>
        <w:rPr>
          <w:rFonts w:ascii="仿宋_GB2312" w:hAnsi="仿宋_GB2312" w:cs="仿宋_GB2312" w:eastAsia="仿宋_GB2312"/>
        </w:rPr>
        <w:t>4、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渭南市临渭区林业局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渭南市临渭区东风大街83号院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李卓朗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0913-3039585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渭南市临渭区政府采购管理股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吕洁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0913-2130873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在标准的基础上下浮55%，按照标准计算结果的45%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渭南市临渭区林业局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渭南市临渭区林业局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渭南市临渭区林业局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达到国家及行业验收合格标准。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临渭区2025年度省级林业草原改革发展资金重点区域绿化补助项目通过实施区域绿化634亩、涝池绿化2处(折合绿化面积36亩)、排碱沟两旁绿化1处(折合绿化面积8亩)，提高林地生产力，增加林木蓄积量和森林植被覆盖率，提高森林质量，改善项目区生态环境，建设生态宜居美丽乡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临渭区2025年度省级林业草原改革发展资金重点区域绿化补助</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标的名称：临渭区2025年度省级林业草原改革发展资金重点区域绿化补助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3"/>
              <w:jc w:val="both"/>
            </w:pPr>
            <w:r>
              <w:rPr>
                <w:rFonts w:ascii="仿宋_GB2312" w:hAnsi="仿宋_GB2312" w:cs="仿宋_GB2312" w:eastAsia="仿宋_GB2312"/>
              </w:rPr>
              <w:t>1、作业规模</w:t>
            </w:r>
          </w:p>
          <w:p>
            <w:pPr>
              <w:pStyle w:val="null3"/>
            </w:pPr>
            <w:r>
              <w:rPr>
                <w:rFonts w:ascii="仿宋_GB2312" w:hAnsi="仿宋_GB2312" w:cs="仿宋_GB2312" w:eastAsia="仿宋_GB2312"/>
              </w:rPr>
              <w:t>临渭区2025年度省级林业草原改革发展资金重点区域绿化补助项目实施区域绿化634亩、涝池绿化2处(折合绿化面积36亩)、排碱沟两旁绿化1处(折合绿化面积8亩)。</w:t>
            </w:r>
          </w:p>
          <w:p>
            <w:pPr>
              <w:pStyle w:val="null3"/>
            </w:pPr>
            <w:r>
              <w:rPr>
                <w:rFonts w:ascii="仿宋_GB2312" w:hAnsi="仿宋_GB2312" w:cs="仿宋_GB2312" w:eastAsia="仿宋_GB2312"/>
              </w:rPr>
              <w:t>2、绿化措施</w:t>
            </w:r>
          </w:p>
          <w:p>
            <w:pPr>
              <w:pStyle w:val="null3"/>
            </w:pPr>
            <w:r>
              <w:rPr>
                <w:rFonts w:ascii="仿宋_GB2312" w:hAnsi="仿宋_GB2312" w:cs="仿宋_GB2312" w:eastAsia="仿宋_GB2312"/>
              </w:rPr>
              <w:t>采取人工造林措施进行区域绿化，涝池绿化和排碱沟两旁绿化。</w:t>
            </w:r>
          </w:p>
          <w:p>
            <w:pPr>
              <w:pStyle w:val="null3"/>
            </w:pPr>
            <w:r>
              <w:rPr>
                <w:rFonts w:ascii="仿宋_GB2312" w:hAnsi="仿宋_GB2312" w:cs="仿宋_GB2312" w:eastAsia="仿宋_GB2312"/>
              </w:rPr>
              <w:t>3、树种选择</w:t>
            </w:r>
          </w:p>
          <w:p>
            <w:pPr>
              <w:pStyle w:val="null3"/>
            </w:pPr>
            <w:r>
              <w:rPr>
                <w:rFonts w:ascii="仿宋_GB2312" w:hAnsi="仿宋_GB2312" w:cs="仿宋_GB2312" w:eastAsia="仿宋_GB2312"/>
              </w:rPr>
              <w:t>区域绿化造林树种为油松和侧柏；涝池绿化设计树种为紫薇、樱花、垂柳、木芙蓉和金叶女贞球，排碱沟两旁绿化设计树种侧柏、白蜡、金叶女贞球。</w:t>
            </w:r>
          </w:p>
          <w:p>
            <w:pPr>
              <w:pStyle w:val="null3"/>
            </w:pPr>
            <w:r>
              <w:rPr>
                <w:rFonts w:ascii="仿宋_GB2312" w:hAnsi="仿宋_GB2312" w:cs="仿宋_GB2312" w:eastAsia="仿宋_GB2312"/>
              </w:rPr>
              <w:t>4、造林模式</w:t>
            </w:r>
          </w:p>
          <w:p>
            <w:pPr>
              <w:pStyle w:val="null3"/>
            </w:pPr>
            <w:r>
              <w:rPr>
                <w:rFonts w:ascii="仿宋_GB2312" w:hAnsi="仿宋_GB2312" w:cs="仿宋_GB2312" w:eastAsia="仿宋_GB2312"/>
              </w:rPr>
              <w:t>（1）造林模式I：油松+现有植被混交林</w:t>
            </w:r>
          </w:p>
          <w:p>
            <w:pPr>
              <w:pStyle w:val="null3"/>
            </w:pPr>
            <w:r>
              <w:rPr>
                <w:rFonts w:ascii="仿宋_GB2312" w:hAnsi="仿宋_GB2312" w:cs="仿宋_GB2312" w:eastAsia="仿宋_GB2312"/>
              </w:rPr>
              <w:t>适宜立地类型：立地类型Ⅰ低山阴坡斜陡坡型。</w:t>
            </w:r>
          </w:p>
          <w:p>
            <w:pPr>
              <w:pStyle w:val="null3"/>
            </w:pPr>
            <w:r>
              <w:rPr>
                <w:rFonts w:ascii="仿宋_GB2312" w:hAnsi="仿宋_GB2312" w:cs="仿宋_GB2312" w:eastAsia="仿宋_GB2312"/>
              </w:rPr>
              <w:t>整地方式及规格：采用鱼鳞坑整地，规格为60×60×40cm。</w:t>
            </w:r>
          </w:p>
          <w:p>
            <w:pPr>
              <w:pStyle w:val="null3"/>
            </w:pPr>
            <w:r>
              <w:rPr>
                <w:rFonts w:ascii="仿宋_GB2312" w:hAnsi="仿宋_GB2312" w:cs="仿宋_GB2312" w:eastAsia="仿宋_GB2312"/>
              </w:rPr>
              <w:t>混交方式：与现有植被块状混交。</w:t>
            </w:r>
          </w:p>
          <w:p>
            <w:pPr>
              <w:pStyle w:val="null3"/>
            </w:pPr>
            <w:r>
              <w:rPr>
                <w:rFonts w:ascii="仿宋_GB2312" w:hAnsi="仿宋_GB2312" w:cs="仿宋_GB2312" w:eastAsia="仿宋_GB2312"/>
              </w:rPr>
              <w:t>种植点配置：三角形。</w:t>
            </w:r>
          </w:p>
          <w:p>
            <w:pPr>
              <w:pStyle w:val="null3"/>
            </w:pPr>
            <w:r>
              <w:rPr>
                <w:rFonts w:ascii="仿宋_GB2312" w:hAnsi="仿宋_GB2312" w:cs="仿宋_GB2312" w:eastAsia="仿宋_GB2312"/>
              </w:rPr>
              <w:t>栽植密度：株行距3×3m，初植密度42株/亩。</w:t>
            </w:r>
          </w:p>
          <w:p>
            <w:pPr>
              <w:pStyle w:val="null3"/>
            </w:pPr>
            <w:r>
              <w:rPr>
                <w:rFonts w:ascii="仿宋_GB2312" w:hAnsi="仿宋_GB2312" w:cs="仿宋_GB2312" w:eastAsia="仿宋_GB2312"/>
              </w:rPr>
              <w:t>（2）造林模式Ⅱ：侧柏+现有植被混交林</w:t>
            </w:r>
          </w:p>
          <w:p>
            <w:pPr>
              <w:pStyle w:val="null3"/>
            </w:pPr>
            <w:r>
              <w:rPr>
                <w:rFonts w:ascii="仿宋_GB2312" w:hAnsi="仿宋_GB2312" w:cs="仿宋_GB2312" w:eastAsia="仿宋_GB2312"/>
              </w:rPr>
              <w:t>适宜立地类型：立地类型Ⅱ低山阳坡斜陡坡型。</w:t>
            </w:r>
          </w:p>
          <w:p>
            <w:pPr>
              <w:pStyle w:val="null3"/>
            </w:pPr>
            <w:r>
              <w:rPr>
                <w:rFonts w:ascii="仿宋_GB2312" w:hAnsi="仿宋_GB2312" w:cs="仿宋_GB2312" w:eastAsia="仿宋_GB2312"/>
              </w:rPr>
              <w:t>整地方式及规格：采用鱼鳞坑整地，规格为60×60×40cm。</w:t>
            </w:r>
          </w:p>
          <w:p>
            <w:pPr>
              <w:pStyle w:val="null3"/>
            </w:pPr>
            <w:r>
              <w:rPr>
                <w:rFonts w:ascii="仿宋_GB2312" w:hAnsi="仿宋_GB2312" w:cs="仿宋_GB2312" w:eastAsia="仿宋_GB2312"/>
              </w:rPr>
              <w:t>混交方式：与现有植被块状混交。</w:t>
            </w:r>
          </w:p>
          <w:p>
            <w:pPr>
              <w:pStyle w:val="null3"/>
            </w:pPr>
            <w:r>
              <w:rPr>
                <w:rFonts w:ascii="仿宋_GB2312" w:hAnsi="仿宋_GB2312" w:cs="仿宋_GB2312" w:eastAsia="仿宋_GB2312"/>
              </w:rPr>
              <w:t>种植点配置：三角形。</w:t>
            </w:r>
          </w:p>
          <w:p>
            <w:pPr>
              <w:pStyle w:val="null3"/>
            </w:pPr>
            <w:r>
              <w:rPr>
                <w:rFonts w:ascii="仿宋_GB2312" w:hAnsi="仿宋_GB2312" w:cs="仿宋_GB2312" w:eastAsia="仿宋_GB2312"/>
              </w:rPr>
              <w:t>栽植密度：株行距3×3m，初植密度42株/亩。</w:t>
            </w:r>
          </w:p>
          <w:p>
            <w:pPr>
              <w:pStyle w:val="null3"/>
            </w:pPr>
            <w:r>
              <w:rPr>
                <w:rFonts w:ascii="仿宋_GB2312" w:hAnsi="仿宋_GB2312" w:cs="仿宋_GB2312" w:eastAsia="仿宋_GB2312"/>
              </w:rPr>
              <w:t>5、苗木标准</w:t>
            </w:r>
          </w:p>
          <w:p>
            <w:pPr>
              <w:pStyle w:val="null3"/>
            </w:pPr>
            <w:r>
              <w:rPr>
                <w:rFonts w:ascii="仿宋_GB2312" w:hAnsi="仿宋_GB2312" w:cs="仿宋_GB2312" w:eastAsia="仿宋_GB2312"/>
              </w:rPr>
              <w:t>所用苗木为具有“两证一签”（苗木检验证、苗木检疫证、苗木标签）的Ⅰ级苗木。本项目所需苗木尽量从本区苗圃或者相邻近的县区苗圃采购，确保林木良种使用率≥75%。</w:t>
            </w:r>
          </w:p>
          <w:p>
            <w:pPr>
              <w:pStyle w:val="null3"/>
            </w:pPr>
            <w:r>
              <w:rPr>
                <w:rFonts w:ascii="仿宋_GB2312" w:hAnsi="仿宋_GB2312" w:cs="仿宋_GB2312" w:eastAsia="仿宋_GB2312"/>
              </w:rPr>
              <w:t>区域绿化具体苗木标准如下：</w:t>
            </w:r>
          </w:p>
          <w:p>
            <w:pPr>
              <w:pStyle w:val="null3"/>
            </w:pPr>
            <w:r>
              <w:rPr>
                <w:rFonts w:ascii="仿宋_GB2312" w:hAnsi="仿宋_GB2312" w:cs="仿宋_GB2312" w:eastAsia="仿宋_GB2312"/>
              </w:rPr>
              <w:t>油松为苗高≥80cm、地径≥0.7cm，带营养钵（型号25*25cm）的I级三年生苗;</w:t>
            </w:r>
          </w:p>
          <w:p>
            <w:pPr>
              <w:pStyle w:val="null3"/>
            </w:pPr>
            <w:r>
              <w:rPr>
                <w:rFonts w:ascii="仿宋_GB2312" w:hAnsi="仿宋_GB2312" w:cs="仿宋_GB2312" w:eastAsia="仿宋_GB2312"/>
              </w:rPr>
              <w:t>侧柏为苗高≥90cm、地径≥0.8cm，带营养钵（型号25*25cm）的I级三年生苗。</w:t>
            </w:r>
          </w:p>
          <w:p>
            <w:pPr>
              <w:pStyle w:val="null3"/>
            </w:pPr>
            <w:r>
              <w:rPr>
                <w:rFonts w:ascii="仿宋_GB2312" w:hAnsi="仿宋_GB2312" w:cs="仿宋_GB2312" w:eastAsia="仿宋_GB2312"/>
              </w:rPr>
              <w:t>涝池绿化和排碱沟两旁绿化苗木标准如下：</w:t>
            </w:r>
          </w:p>
          <w:p>
            <w:pPr>
              <w:pStyle w:val="null3"/>
            </w:pPr>
            <w:r>
              <w:rPr>
                <w:rFonts w:ascii="仿宋_GB2312" w:hAnsi="仿宋_GB2312" w:cs="仿宋_GB2312" w:eastAsia="仿宋_GB2312"/>
              </w:rPr>
              <w:t>侧柏：苗木规格：Ф6-7cm，H≥2.5m，苗木种类：土球 40x40cm，苗木等级：一级</w:t>
            </w:r>
          </w:p>
          <w:p>
            <w:pPr>
              <w:pStyle w:val="null3"/>
            </w:pPr>
            <w:r>
              <w:rPr>
                <w:rFonts w:ascii="仿宋_GB2312" w:hAnsi="仿宋_GB2312" w:cs="仿宋_GB2312" w:eastAsia="仿宋_GB2312"/>
              </w:rPr>
              <w:t>白蜡：苗木规格：Ф5-6cm，H≥2m，定杆，苗木种类：土球 40x40cm，苗木等级：一级</w:t>
            </w:r>
          </w:p>
          <w:p>
            <w:pPr>
              <w:pStyle w:val="null3"/>
            </w:pPr>
            <w:r>
              <w:rPr>
                <w:rFonts w:ascii="仿宋_GB2312" w:hAnsi="仿宋_GB2312" w:cs="仿宋_GB2312" w:eastAsia="仿宋_GB2312"/>
              </w:rPr>
              <w:t>紫薇：苗木规格：Ф5-6cm，H≥2m，半冠，苗木种类：土球 40x40cm，苗木等级：一级</w:t>
            </w:r>
          </w:p>
          <w:p>
            <w:pPr>
              <w:pStyle w:val="null3"/>
            </w:pPr>
            <w:r>
              <w:rPr>
                <w:rFonts w:ascii="仿宋_GB2312" w:hAnsi="仿宋_GB2312" w:cs="仿宋_GB2312" w:eastAsia="仿宋_GB2312"/>
              </w:rPr>
              <w:t>樱花：苗木规格：Ф5-6cm，H≥2m，半冠，苗木种类：土球 40x40cm，苗木等级：一级</w:t>
            </w:r>
          </w:p>
          <w:p>
            <w:pPr>
              <w:pStyle w:val="null3"/>
            </w:pPr>
            <w:r>
              <w:rPr>
                <w:rFonts w:ascii="仿宋_GB2312" w:hAnsi="仿宋_GB2312" w:cs="仿宋_GB2312" w:eastAsia="仿宋_GB2312"/>
              </w:rPr>
              <w:t>垂柳：苗木规格：Ф6-7cm，H≥2.5m，苗木种类：土球 40x40cm，苗木等级：一级</w:t>
            </w:r>
          </w:p>
          <w:p>
            <w:pPr>
              <w:pStyle w:val="null3"/>
            </w:pPr>
            <w:r>
              <w:rPr>
                <w:rFonts w:ascii="仿宋_GB2312" w:hAnsi="仿宋_GB2312" w:cs="仿宋_GB2312" w:eastAsia="仿宋_GB2312"/>
              </w:rPr>
              <w:t>木芙蓉：苗木规格：Ф5-6cm，H≥2m，半冠，苗木种类：土球 40x40cm，苗木等级：一级</w:t>
            </w:r>
          </w:p>
          <w:p>
            <w:pPr>
              <w:pStyle w:val="null3"/>
            </w:pPr>
            <w:r>
              <w:rPr>
                <w:rFonts w:ascii="仿宋_GB2312" w:hAnsi="仿宋_GB2312" w:cs="仿宋_GB2312" w:eastAsia="仿宋_GB2312"/>
              </w:rPr>
              <w:t>金叶女贞球：苗木规格：H≥0.6m，G≥0.5m，苗木种类：土球 30x30cm，苗木等级：一级</w:t>
            </w:r>
          </w:p>
          <w:p>
            <w:pPr>
              <w:pStyle w:val="null3"/>
            </w:pPr>
            <w:r>
              <w:rPr>
                <w:rFonts w:ascii="仿宋_GB2312" w:hAnsi="仿宋_GB2312" w:cs="仿宋_GB2312" w:eastAsia="仿宋_GB2312"/>
              </w:rPr>
              <w:t>6、成活率及验收合格率</w:t>
            </w:r>
          </w:p>
          <w:p>
            <w:pPr>
              <w:pStyle w:val="null3"/>
            </w:pPr>
            <w:r>
              <w:rPr>
                <w:rFonts w:ascii="仿宋_GB2312" w:hAnsi="仿宋_GB2312" w:cs="仿宋_GB2312" w:eastAsia="仿宋_GB2312"/>
              </w:rPr>
              <w:t>造林成活率≥85%，项目验收合格率≥95%。</w:t>
            </w:r>
          </w:p>
          <w:p>
            <w:pPr>
              <w:pStyle w:val="null3"/>
            </w:pPr>
            <w:r>
              <w:rPr>
                <w:rFonts w:ascii="仿宋_GB2312" w:hAnsi="仿宋_GB2312" w:cs="仿宋_GB2312" w:eastAsia="仿宋_GB2312"/>
              </w:rPr>
              <w:t>7、保存率</w:t>
            </w:r>
          </w:p>
          <w:p>
            <w:pPr>
              <w:pStyle w:val="null3"/>
            </w:pPr>
            <w:r>
              <w:rPr>
                <w:rFonts w:ascii="仿宋_GB2312" w:hAnsi="仿宋_GB2312" w:cs="仿宋_GB2312" w:eastAsia="仿宋_GB2312"/>
              </w:rPr>
              <w:t>造林3年后，小班郁闭度≥0.20或株数保存率≥80%。</w:t>
            </w:r>
          </w:p>
          <w:p>
            <w:pPr>
              <w:pStyle w:val="null3"/>
            </w:pPr>
            <w:r>
              <w:rPr>
                <w:rFonts w:ascii="仿宋_GB2312" w:hAnsi="仿宋_GB2312" w:cs="仿宋_GB2312" w:eastAsia="仿宋_GB2312"/>
              </w:rPr>
              <w:t>注：本项目的作业内容及作业方式和要求以项目作业设计为准。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详见3.2.5其他要求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详见3.2.5其他要求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1、供应商需派驻一名项目负责人、一名技术负责人对作业进度、服务质量、作业人员管理进行总协调，确保技术措施的落实，按时参加采购人组织的相关会议和活动，服从采购人的工作制度和工作规范。 2、供应商向采购人提供项目作业计划和安全责任协议等，其内容包括管理机构的设置、各主要岗位的技术和管理员名单、联系方式及各工种技术工人的安排、项目实施进度安排、技术措施等状况。 3、严格按照项目作业设计要求进行作业，作业前按项目要求筹备各项器械、材料、工具等，按技术规定进行作业。 4、协助采购人及时组织召开检查验收、效果评价和竣工验收工作会议。 5、供应商应按相关要求向采购人提交作业过程性资料和工作总结报告。 6、有各类突发事件的应急预案和措施，有明确具体的承诺。</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项目建设地点位于临渭区崇凝镇(三兴村)、桥南镇(岭西村)、阎村镇(龙泉寺村、双河村)、阳郭镇(双河村)、官路镇(官路村)、吝店镇(李十三村)、交斜镇(光二村)。</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标准：达到国家及行业验收合格标准。（2）验收标准：按磋商文件、磋商响应文件及澄清函、项目检查情况等综合指标进行验收。各项指标均应符合验收标准及要求。（3）需执行的国家相关标准、行业标准、地方标准或者其他标准、规范标准：《造林技术规程》(GB/T 15776-2023)；《陕西省造林技术规程》(DB61/T 142-2021)；《裸露坡面植被恢复技术规范》(GB/T 38360-2019)；《生态公益林建设导则》(GB/T 18337.1-2001)；《生态公益林建设技术规程》(GB/T 18337.3-2001)；《森林资源规划设计调查技术规程》(GB/T 26424-2010)；《主要造林树种苗木质量分级》(DB61/T 378-2006)；《主要造林树种苗木质量分级》(GB 6000-1999)；其它行业、地方现行执行规范、规程、标准。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合同签订后，支付合同金额的40%作为预付款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采购人根据项目进度支付项目进度款，项目建设任务完工验收后，支付至合同金额的90%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养护期满后，依据竣工结算审计付完剩余尾款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1）采购人因未及时向供应商提供项目启动所需资料造成服务期延误，每延误1日则本合同服务期期限延长1日，以此类推；因资料真实性给供应商造成损失和产生相关连带责任时，采购人除按供应商要求进行赔偿外还需承担因连带责任产生的所有责任。（2）因供应商原因造成服务期延误（自然灾害等不可抗力除外），采购人有权从未付款项中按每日3‰合同价款扣除违约金，此违约以30日为限；若采购人未按约定时间付款，则供应商有权按每日3‰合同价款收取违约金。 2、解决争议的方法：双方在执行合同中所发生的一切争议，应通过协商解决。如协商不成，可向项目所在地法院起诉。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成交）供应商在中标（成交）结果公告发布后3个工作日内提供叁套纸质投标文件（经编标工具生成的文件直接打印并加盖公章），递交的纸质版文件内容确保与线上电子文件保持一致，不允许修改和补充。2、关于印发中小企业划型标准规定的通知（工信部联企业〔2011〕300号），中小企业划型标准规定：（一）农、林、牧、渔业。营业收入20000万元以下的为中小微型企业。其中，营业收入500万元及以上的为中型企业，营业收入50万元及以上的为小型企业，营业收入50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营业执照等证明材料</w:t>
            </w:r>
          </w:p>
        </w:tc>
        <w:tc>
          <w:tcPr>
            <w:tcW w:type="dxa" w:w="3322"/>
          </w:tcPr>
          <w:p>
            <w:pPr>
              <w:pStyle w:val="null3"/>
            </w:pPr>
            <w:r>
              <w:rPr>
                <w:rFonts w:ascii="仿宋_GB2312" w:hAnsi="仿宋_GB2312" w:cs="仿宋_GB2312" w:eastAsia="仿宋_GB2312"/>
              </w:rPr>
              <w:t>供应商须提供合法有效，具有独立承担民事责任能力的证明资料；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w:t>
            </w:r>
          </w:p>
        </w:tc>
        <w:tc>
          <w:tcPr>
            <w:tcW w:type="dxa" w:w="3322"/>
          </w:tcPr>
          <w:p>
            <w:pPr>
              <w:pStyle w:val="null3"/>
            </w:pPr>
            <w:r>
              <w:rPr>
                <w:rFonts w:ascii="仿宋_GB2312" w:hAnsi="仿宋_GB2312" w:cs="仿宋_GB2312" w:eastAsia="仿宋_GB2312"/>
              </w:rPr>
              <w:t>（1）财务状况报告：提供具有财务审计资质单位出具的2024年度财务审计报告（成立时间至磋商时间不足一年的可提供成立后任意时段的资产负债表）或响应文件递交截止时间前六个月内其基本账户银行出具的资信证明（附基本账户证明）或政府采购信用担保机构出具的磋商担保函； （2）税收缴纳证明：提供响应文件递交截止时间前一年内任意一个月的缴费凭据；依法免税的应提供相关文件证明； （3）社会保障资金缴纳证明：提供响应文件递交截止时间前一年内任意一个月的社保缴费凭据或社保机构开具的社会保险参保缴费情况证明；依法不需要缴纳社会保障资金的供应商应提供相关文件证明； 注：按照陕西省财政厅关于进一步优化政府采购营商环境有关事项的通知（陕财办采〔2023〕4号）中对供应商参与政府采购活动建立“承诺+信用管理”的准入管理制度要求，以上三项内容可根据本采购文件格式要求出具承诺函（详见附件1），成交供应商的承诺函同成交结果一并公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提供参加政府采购活动前三年内在经营活动中没有重大违法记录的书面声明（格式自拟）。</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本项目专门面向中小企业采购，所属行业：农、林、牧、渔业。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项目负责人需具备林业类或园林类专业中级及以上职称或市政公用工程专业二级建造师及安全生产考核B证，且无在建项目；</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法定代表人身份证明书/法定代表人授权委托书</w:t>
            </w:r>
          </w:p>
        </w:tc>
        <w:tc>
          <w:tcPr>
            <w:tcW w:type="dxa" w:w="3322"/>
          </w:tcPr>
          <w:p>
            <w:pPr>
              <w:pStyle w:val="null3"/>
            </w:pPr>
            <w:r>
              <w:rPr>
                <w:rFonts w:ascii="仿宋_GB2312" w:hAnsi="仿宋_GB2312" w:cs="仿宋_GB2312" w:eastAsia="仿宋_GB2312"/>
              </w:rPr>
              <w:t>法定代表人参与磋商时需提供法定代表人身份证明书；被授权人参与磋商时需提供法定代表人身份证明书及法定代表人授权委托书；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磋商保证金交纳凭证</w:t>
            </w:r>
          </w:p>
        </w:tc>
        <w:tc>
          <w:tcPr>
            <w:tcW w:type="dxa" w:w="3322"/>
          </w:tcPr>
          <w:p>
            <w:pPr>
              <w:pStyle w:val="null3"/>
            </w:pPr>
            <w:r>
              <w:rPr>
                <w:rFonts w:ascii="仿宋_GB2312" w:hAnsi="仿宋_GB2312" w:cs="仿宋_GB2312" w:eastAsia="仿宋_GB2312"/>
              </w:rPr>
              <w:t>磋商保证金交纳凭证；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磋商响应文件按竞争性磋商文件要求进行签章</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分项报价表.docx 残疾人福利性单位声明函 服务方案 标的清单 响应函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对采购内容的响应程度</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无其他做无效磋商处理的情况</w:t>
            </w:r>
          </w:p>
        </w:tc>
        <w:tc>
          <w:tcPr>
            <w:tcW w:type="dxa" w:w="1661"/>
          </w:tcPr>
          <w:p>
            <w:pPr>
              <w:pStyle w:val="null3"/>
            </w:pPr>
            <w:r>
              <w:rPr>
                <w:rFonts w:ascii="仿宋_GB2312" w:hAnsi="仿宋_GB2312" w:cs="仿宋_GB2312" w:eastAsia="仿宋_GB2312"/>
              </w:rPr>
              <w:t>服务内容及服务邀请应答表 中小企业声明函 商务应答表 报价表 资格证明文件.docx 响应文件封面 分项报价表.docx 残疾人福利性单位声明函 服务方案 标的清单 响应函 投标人承诺书.docx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（1）项目需求理解； （2）项目整体管理方案； （3）进度计划及保障措施。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（1）造林地、栽植地清理及整地方案； （2）施肥、栽植、浇水及铺设育林板方案； （3）未成林抚育方案； （4）幼林管护方案； （5）服务团队管理方案； （6）服务团队职责划分。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（一）评审内容： （1）质量保障措施； （2）成活率调查与补植方案。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资料管理方案</w:t>
            </w:r>
          </w:p>
        </w:tc>
        <w:tc>
          <w:tcPr>
            <w:tcW w:type="dxa" w:w="2492"/>
          </w:tcPr>
          <w:p>
            <w:pPr>
              <w:pStyle w:val="null3"/>
            </w:pPr>
            <w:r>
              <w:rPr>
                <w:rFonts w:ascii="仿宋_GB2312" w:hAnsi="仿宋_GB2312" w:cs="仿宋_GB2312" w:eastAsia="仿宋_GB2312"/>
              </w:rPr>
              <w:t>（一）评审内容： （1）资料管理方案； （2）工作流程安排及实施细则。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生物多样性及环境保护方案</w:t>
            </w:r>
          </w:p>
        </w:tc>
        <w:tc>
          <w:tcPr>
            <w:tcW w:type="dxa" w:w="2492"/>
          </w:tcPr>
          <w:p>
            <w:pPr>
              <w:pStyle w:val="null3"/>
            </w:pPr>
            <w:r>
              <w:rPr>
                <w:rFonts w:ascii="仿宋_GB2312" w:hAnsi="仿宋_GB2312" w:cs="仿宋_GB2312" w:eastAsia="仿宋_GB2312"/>
              </w:rPr>
              <w:t>（一）评审内容： （1）生物多样性保护方案（即野生动植物保护）； （2）环境保护方案。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安全保障方案</w:t>
            </w:r>
          </w:p>
        </w:tc>
        <w:tc>
          <w:tcPr>
            <w:tcW w:type="dxa" w:w="2492"/>
          </w:tcPr>
          <w:p>
            <w:pPr>
              <w:pStyle w:val="null3"/>
            </w:pPr>
            <w:r>
              <w:rPr>
                <w:rFonts w:ascii="仿宋_GB2312" w:hAnsi="仿宋_GB2312" w:cs="仿宋_GB2312" w:eastAsia="仿宋_GB2312"/>
              </w:rPr>
              <w:t>（一）评审内容： （1）安全管理方案； （2）森林防火预防方案。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（一）评审内容： （1）紧急或突发情况的应急保障方案； （2）应急人员及设施设备安排计划。 （二）评审标准： （1）每项评审内容完整无缺陷得3分；未提供得0分； （2）每项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后续服务方案。 （二）评审标准： （1）评审内容完整无缺陷得3分；未提供得0分； （2）评审内容每存在一处缺陷扣0.5分，扣完为止。(缺陷是指：①编制内容与项目不吻合、层次未细化；②阐述未从实际出发，不切合项目背景及需求；③存在抄袭或套用其他地区或项目内容；④前后逻辑错误、存在歧义；⑤无具体详细的阐述、实施性不强；⑥科学原理或常识错误等。)</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针对本项目提出合理化建议，每提出一项有利于本项目实施的合理化建议得1分，本项最高得3分。未提供得0分。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供应商近三年（2022年12月至今）具有类似项目业绩，每个计1分，最多计5分。(业绩时间以合同签订日期为准，供应商须提供合同扫描件)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（1）配备的技术负责人具有园林类或林业类中级及以上职称或市政公用工程专业二级建造师及安全生产考核B证得2分。 （2）服务团队每配备一名其他服务人员（例如：资料、安全、财务等）得1分，最多得3分。 注：须提供相关证明材料，未提供得0分。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每配备一项本次服务所需相关设施设备（例如：整地、栽植、浇水、抚育、运输、防火、灭火等）得1分，最多得7分。 注：须提供相关证明材料，未提供得0分。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满足磋商文件要求且最后报价最低的供应商价格为磋商基准价得20分； 其他供应商的价格分按下列公式计算： 磋商报价得分=（磋商基准价/最后磋商报价）×20%×100。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